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294"/>
        <w:gridCol w:w="1687"/>
        <w:gridCol w:w="3091"/>
      </w:tblGrid>
      <w:tr w:rsidR="00274346" w14:paraId="322671F1" w14:textId="77777777" w:rsidTr="002339A4">
        <w:trPr>
          <w:trHeight w:val="693"/>
        </w:trPr>
        <w:tc>
          <w:tcPr>
            <w:tcW w:w="9072" w:type="dxa"/>
            <w:gridSpan w:val="3"/>
            <w:shd w:val="clear" w:color="auto" w:fill="auto"/>
          </w:tcPr>
          <w:p w14:paraId="3740205D" w14:textId="77777777" w:rsidR="008A7C31" w:rsidRPr="003B2361" w:rsidRDefault="008A7C31" w:rsidP="00AB0E69">
            <w:pPr>
              <w:rPr>
                <w:rFonts w:cs="Arial"/>
                <w:b/>
                <w:sz w:val="28"/>
                <w:szCs w:val="28"/>
              </w:rPr>
            </w:pPr>
          </w:p>
        </w:tc>
      </w:tr>
      <w:tr w:rsidR="00274346" w14:paraId="0A39D59D" w14:textId="77777777" w:rsidTr="008A7C31">
        <w:trPr>
          <w:trHeight w:val="693"/>
        </w:trPr>
        <w:tc>
          <w:tcPr>
            <w:tcW w:w="4294" w:type="dxa"/>
            <w:shd w:val="clear" w:color="auto" w:fill="auto"/>
          </w:tcPr>
          <w:p w14:paraId="07EE0272" w14:textId="77777777" w:rsidR="000244E9" w:rsidRPr="003B2361" w:rsidRDefault="000244E9" w:rsidP="00EA188C">
            <w:pPr>
              <w:rPr>
                <w:rFonts w:cs="Arial"/>
              </w:rPr>
            </w:pPr>
          </w:p>
        </w:tc>
        <w:tc>
          <w:tcPr>
            <w:tcW w:w="1687" w:type="dxa"/>
            <w:shd w:val="clear" w:color="auto" w:fill="auto"/>
          </w:tcPr>
          <w:p w14:paraId="50E0855D" w14:textId="77777777" w:rsidR="000244E9" w:rsidRPr="003B2361" w:rsidRDefault="000244E9" w:rsidP="00EA188C">
            <w:pPr>
              <w:rPr>
                <w:rFonts w:cs="Arial"/>
                <w:sz w:val="18"/>
                <w:szCs w:val="18"/>
              </w:rPr>
            </w:pPr>
          </w:p>
        </w:tc>
        <w:tc>
          <w:tcPr>
            <w:tcW w:w="3091" w:type="dxa"/>
            <w:shd w:val="clear" w:color="auto" w:fill="auto"/>
          </w:tcPr>
          <w:p w14:paraId="5069123B" w14:textId="77777777" w:rsidR="000244E9" w:rsidRPr="003B2361" w:rsidRDefault="00313565" w:rsidP="00EA188C">
            <w:pPr>
              <w:rPr>
                <w:sz w:val="16"/>
                <w:szCs w:val="16"/>
              </w:rPr>
            </w:pPr>
            <w:r w:rsidRPr="003B2361">
              <w:rPr>
                <w:sz w:val="16"/>
                <w:szCs w:val="16"/>
              </w:rPr>
              <w:t xml:space="preserve">Arkivsak: </w:t>
            </w:r>
            <w:bookmarkStart w:id="0" w:name="Saksnr"/>
            <w:r w:rsidRPr="003B2361">
              <w:rPr>
                <w:sz w:val="16"/>
                <w:szCs w:val="16"/>
              </w:rPr>
              <w:t>2021/704</w:t>
            </w:r>
            <w:bookmarkEnd w:id="0"/>
            <w:r w:rsidRPr="003B2361">
              <w:rPr>
                <w:sz w:val="16"/>
                <w:szCs w:val="16"/>
              </w:rPr>
              <w:t>-</w:t>
            </w:r>
            <w:bookmarkStart w:id="1" w:name="NrISak"/>
            <w:r w:rsidRPr="003B2361">
              <w:rPr>
                <w:sz w:val="16"/>
                <w:szCs w:val="16"/>
              </w:rPr>
              <w:t>2</w:t>
            </w:r>
            <w:bookmarkEnd w:id="1"/>
          </w:p>
          <w:p w14:paraId="69ED4C47" w14:textId="77777777" w:rsidR="00B62C92" w:rsidRPr="003B2361" w:rsidRDefault="00313565" w:rsidP="00AD0AB0">
            <w:pPr>
              <w:rPr>
                <w:sz w:val="16"/>
                <w:szCs w:val="16"/>
              </w:rPr>
            </w:pPr>
            <w:r w:rsidRPr="003B2361">
              <w:rPr>
                <w:sz w:val="16"/>
                <w:szCs w:val="16"/>
              </w:rPr>
              <w:t xml:space="preserve">Arkiv: </w:t>
            </w:r>
            <w:bookmarkStart w:id="2" w:name="PRIMÆRKLASSERING"/>
            <w:r w:rsidRPr="003B2361">
              <w:rPr>
                <w:sz w:val="16"/>
                <w:szCs w:val="16"/>
              </w:rPr>
              <w:t>U01</w:t>
            </w:r>
            <w:bookmarkEnd w:id="2"/>
          </w:p>
          <w:p w14:paraId="4F9440BE" w14:textId="77777777" w:rsidR="000244E9" w:rsidRPr="003B2361" w:rsidRDefault="00313565" w:rsidP="00AD0AB0">
            <w:pPr>
              <w:rPr>
                <w:sz w:val="16"/>
                <w:szCs w:val="16"/>
              </w:rPr>
            </w:pPr>
            <w:r w:rsidRPr="003B2361">
              <w:rPr>
                <w:sz w:val="16"/>
                <w:szCs w:val="16"/>
              </w:rPr>
              <w:t xml:space="preserve">Saksbehandlar: </w:t>
            </w:r>
            <w:bookmarkStart w:id="3" w:name="SaksbehandlerNavn"/>
            <w:r w:rsidRPr="003B2361">
              <w:rPr>
                <w:sz w:val="16"/>
                <w:szCs w:val="16"/>
              </w:rPr>
              <w:t>Åshild Myhre Amundsen</w:t>
            </w:r>
            <w:bookmarkEnd w:id="3"/>
          </w:p>
          <w:p w14:paraId="0584AA05" w14:textId="77777777" w:rsidR="00B62C92" w:rsidRPr="003B2361" w:rsidRDefault="00313565" w:rsidP="00AD0AB0">
            <w:pPr>
              <w:rPr>
                <w:sz w:val="16"/>
                <w:szCs w:val="16"/>
              </w:rPr>
            </w:pPr>
            <w:r w:rsidRPr="003B2361">
              <w:rPr>
                <w:sz w:val="16"/>
                <w:szCs w:val="16"/>
              </w:rPr>
              <w:t xml:space="preserve">Dato: </w:t>
            </w:r>
            <w:bookmarkStart w:id="4" w:name="BREVDATO"/>
            <w:r w:rsidRPr="003B2361">
              <w:rPr>
                <w:sz w:val="16"/>
                <w:szCs w:val="16"/>
              </w:rPr>
              <w:t>10.01.2022</w:t>
            </w:r>
            <w:bookmarkEnd w:id="4"/>
          </w:p>
          <w:p w14:paraId="4D7B31FF" w14:textId="77777777" w:rsidR="00B62C92" w:rsidRPr="003B2361" w:rsidRDefault="00B62C92" w:rsidP="00AD0AB0">
            <w:pPr>
              <w:rPr>
                <w:sz w:val="16"/>
                <w:szCs w:val="16"/>
              </w:rPr>
            </w:pPr>
          </w:p>
        </w:tc>
      </w:tr>
    </w:tbl>
    <w:p w14:paraId="67C49092" w14:textId="77777777" w:rsidR="00B62C92" w:rsidRPr="003B2361" w:rsidRDefault="00B62C92" w:rsidP="00B62C92">
      <w:pPr>
        <w:jc w:val="right"/>
        <w:rPr>
          <w:b/>
        </w:rPr>
      </w:pPr>
    </w:p>
    <w:tbl>
      <w:tblPr>
        <w:tblW w:w="9077" w:type="dxa"/>
        <w:tblInd w:w="-5" w:type="dxa"/>
        <w:tblLook w:val="00A0" w:firstRow="1" w:lastRow="0" w:firstColumn="1" w:lastColumn="0" w:noHBand="0" w:noVBand="0"/>
      </w:tblPr>
      <w:tblGrid>
        <w:gridCol w:w="1347"/>
        <w:gridCol w:w="1133"/>
        <w:gridCol w:w="6597"/>
      </w:tblGrid>
      <w:tr w:rsidR="00274346" w14:paraId="65F5DFA1" w14:textId="77777777" w:rsidTr="00EA188C">
        <w:tc>
          <w:tcPr>
            <w:tcW w:w="9077" w:type="dxa"/>
            <w:gridSpan w:val="3"/>
            <w:tcBorders>
              <w:bottom w:val="single" w:sz="4" w:space="0" w:color="auto"/>
            </w:tcBorders>
            <w:shd w:val="clear" w:color="auto" w:fill="auto"/>
          </w:tcPr>
          <w:p w14:paraId="7AEB1524" w14:textId="77777777" w:rsidR="00B62C92" w:rsidRPr="003B2361" w:rsidRDefault="00B62C92" w:rsidP="00B62C92">
            <w:pPr>
              <w:jc w:val="right"/>
              <w:rPr>
                <w:b/>
                <w:sz w:val="18"/>
                <w:szCs w:val="18"/>
              </w:rPr>
            </w:pPr>
            <w:bookmarkStart w:id="5" w:name="UOFFPARAGRAF"/>
            <w:bookmarkEnd w:id="5"/>
          </w:p>
          <w:p w14:paraId="2796F9B2" w14:textId="77777777" w:rsidR="00A46A0C" w:rsidRPr="003B2361" w:rsidRDefault="00313565" w:rsidP="00B62C92">
            <w:pPr>
              <w:jc w:val="right"/>
              <w:rPr>
                <w:b/>
              </w:rPr>
            </w:pPr>
            <w:r w:rsidRPr="003B2361">
              <w:rPr>
                <w:b/>
              </w:rPr>
              <w:t>Sak</w:t>
            </w:r>
            <w:r w:rsidR="00B62C92" w:rsidRPr="003B2361">
              <w:rPr>
                <w:b/>
              </w:rPr>
              <w:t>sframlegg</w:t>
            </w:r>
          </w:p>
        </w:tc>
      </w:tr>
      <w:tr w:rsidR="00274346" w14:paraId="7D3E94BF" w14:textId="77777777" w:rsidTr="00EA188C">
        <w:tc>
          <w:tcPr>
            <w:tcW w:w="1347" w:type="dxa"/>
            <w:tcBorders>
              <w:top w:val="single" w:sz="4" w:space="0" w:color="auto"/>
            </w:tcBorders>
            <w:shd w:val="clear" w:color="auto" w:fill="auto"/>
          </w:tcPr>
          <w:p w14:paraId="249105A5" w14:textId="77777777" w:rsidR="0059292C" w:rsidRPr="003B2361" w:rsidRDefault="00313565">
            <w:pPr>
              <w:rPr>
                <w:b/>
                <w:sz w:val="18"/>
                <w:szCs w:val="18"/>
              </w:rPr>
            </w:pPr>
            <w:r w:rsidRPr="003B2361">
              <w:rPr>
                <w:b/>
                <w:sz w:val="18"/>
                <w:szCs w:val="18"/>
              </w:rPr>
              <w:t>Sak</w:t>
            </w:r>
            <w:r w:rsidR="00AD11D4" w:rsidRPr="003B2361">
              <w:rPr>
                <w:b/>
                <w:sz w:val="18"/>
                <w:szCs w:val="18"/>
              </w:rPr>
              <w:t>s</w:t>
            </w:r>
            <w:r w:rsidRPr="003B2361">
              <w:rPr>
                <w:b/>
                <w:sz w:val="18"/>
                <w:szCs w:val="18"/>
              </w:rPr>
              <w:t>nummer</w:t>
            </w:r>
          </w:p>
        </w:tc>
        <w:tc>
          <w:tcPr>
            <w:tcW w:w="1133" w:type="dxa"/>
            <w:tcBorders>
              <w:top w:val="single" w:sz="4" w:space="0" w:color="auto"/>
            </w:tcBorders>
            <w:shd w:val="clear" w:color="auto" w:fill="auto"/>
          </w:tcPr>
          <w:p w14:paraId="6A9262D4" w14:textId="77777777" w:rsidR="0059292C" w:rsidRPr="003B2361" w:rsidRDefault="00313565">
            <w:pPr>
              <w:rPr>
                <w:b/>
                <w:sz w:val="18"/>
                <w:szCs w:val="18"/>
              </w:rPr>
            </w:pPr>
            <w:r w:rsidRPr="003B2361">
              <w:rPr>
                <w:b/>
                <w:sz w:val="18"/>
                <w:szCs w:val="18"/>
              </w:rPr>
              <w:t>Møtedato</w:t>
            </w:r>
          </w:p>
        </w:tc>
        <w:tc>
          <w:tcPr>
            <w:tcW w:w="6597" w:type="dxa"/>
            <w:tcBorders>
              <w:top w:val="single" w:sz="4" w:space="0" w:color="auto"/>
            </w:tcBorders>
            <w:shd w:val="clear" w:color="auto" w:fill="auto"/>
          </w:tcPr>
          <w:p w14:paraId="0CE661B2" w14:textId="77777777" w:rsidR="0059292C" w:rsidRPr="003B2361" w:rsidRDefault="00313565">
            <w:pPr>
              <w:rPr>
                <w:b/>
                <w:sz w:val="18"/>
                <w:szCs w:val="18"/>
              </w:rPr>
            </w:pPr>
            <w:r w:rsidRPr="003B2361">
              <w:rPr>
                <w:b/>
                <w:sz w:val="18"/>
                <w:szCs w:val="18"/>
              </w:rPr>
              <w:t>Utval</w:t>
            </w:r>
          </w:p>
        </w:tc>
      </w:tr>
      <w:tr w:rsidR="00274346" w14:paraId="1E5AAF8B" w14:textId="77777777" w:rsidTr="00EA188C">
        <w:trPr>
          <w:trHeight w:hRule="exact" w:val="295"/>
        </w:trPr>
        <w:tc>
          <w:tcPr>
            <w:tcW w:w="1347" w:type="dxa"/>
            <w:shd w:val="clear" w:color="auto" w:fill="auto"/>
          </w:tcPr>
          <w:p w14:paraId="64DD4E3C" w14:textId="77777777" w:rsidR="0059292C" w:rsidRPr="003B2361" w:rsidRDefault="0059292C">
            <w:pPr>
              <w:rPr>
                <w:sz w:val="18"/>
                <w:szCs w:val="18"/>
              </w:rPr>
            </w:pPr>
            <w:bookmarkStart w:id="6" w:name="Saksgang"/>
            <w:bookmarkEnd w:id="6"/>
          </w:p>
        </w:tc>
        <w:tc>
          <w:tcPr>
            <w:tcW w:w="1133" w:type="dxa"/>
            <w:shd w:val="clear" w:color="auto" w:fill="auto"/>
          </w:tcPr>
          <w:p w14:paraId="190F2E8A" w14:textId="77777777" w:rsidR="0059292C" w:rsidRPr="003B2361" w:rsidRDefault="0059292C">
            <w:pPr>
              <w:rPr>
                <w:sz w:val="18"/>
                <w:szCs w:val="18"/>
              </w:rPr>
            </w:pPr>
          </w:p>
        </w:tc>
        <w:tc>
          <w:tcPr>
            <w:tcW w:w="6597" w:type="dxa"/>
            <w:shd w:val="clear" w:color="auto" w:fill="auto"/>
          </w:tcPr>
          <w:p w14:paraId="76791655" w14:textId="77777777" w:rsidR="0059292C" w:rsidRPr="003B2361" w:rsidRDefault="00313565">
            <w:pPr>
              <w:rPr>
                <w:sz w:val="18"/>
                <w:szCs w:val="18"/>
              </w:rPr>
            </w:pPr>
            <w:r w:rsidRPr="003B2361">
              <w:rPr>
                <w:sz w:val="18"/>
                <w:szCs w:val="18"/>
              </w:rPr>
              <w:t>Kommunestyret</w:t>
            </w:r>
          </w:p>
        </w:tc>
      </w:tr>
    </w:tbl>
    <w:p w14:paraId="180D3A4B" w14:textId="77777777" w:rsidR="004413BF" w:rsidRPr="003B2361" w:rsidRDefault="004413BF" w:rsidP="00EA188C">
      <w:pPr>
        <w:rPr>
          <w:b/>
        </w:rPr>
      </w:pPr>
    </w:p>
    <w:p w14:paraId="4E821E12" w14:textId="77777777" w:rsidR="00A10FA2" w:rsidRPr="003B2361" w:rsidRDefault="00313565" w:rsidP="00A10FA2">
      <w:pPr>
        <w:pStyle w:val="Overskrift1"/>
      </w:pPr>
      <w:bookmarkStart w:id="7" w:name="TITTEL"/>
      <w:r w:rsidRPr="003B2361">
        <w:t>Gjennomføringsplan på næring- og tilflyttingsarbeid 2022</w:t>
      </w:r>
      <w:bookmarkEnd w:id="7"/>
    </w:p>
    <w:p w14:paraId="70C875AC" w14:textId="77777777" w:rsidR="00880D0E" w:rsidRPr="003B2361" w:rsidRDefault="00313565" w:rsidP="00EA188C">
      <w:r w:rsidRPr="003B2361">
        <w:t>Vedlegg</w:t>
      </w:r>
    </w:p>
    <w:tbl>
      <w:tblPr>
        <w:tblW w:w="5000" w:type="pct"/>
        <w:tblLook w:val="04A0" w:firstRow="1" w:lastRow="0" w:firstColumn="1" w:lastColumn="0" w:noHBand="0" w:noVBand="1"/>
      </w:tblPr>
      <w:tblGrid>
        <w:gridCol w:w="474"/>
        <w:gridCol w:w="8278"/>
        <w:gridCol w:w="320"/>
      </w:tblGrid>
      <w:tr w:rsidR="00274346" w14:paraId="6ED08EE7" w14:textId="77777777">
        <w:tc>
          <w:tcPr>
            <w:tcW w:w="0" w:type="auto"/>
          </w:tcPr>
          <w:p w14:paraId="55573F38" w14:textId="77777777" w:rsidR="00880D0E" w:rsidRPr="003B2361" w:rsidRDefault="00313565" w:rsidP="00EA188C">
            <w:bookmarkStart w:id="8" w:name="VEDLEGG"/>
            <w:bookmarkEnd w:id="8"/>
            <w:r w:rsidRPr="003B2361">
              <w:t>1</w:t>
            </w:r>
          </w:p>
        </w:tc>
        <w:tc>
          <w:tcPr>
            <w:tcW w:w="0" w:type="auto"/>
          </w:tcPr>
          <w:p w14:paraId="0F212B60" w14:textId="77777777" w:rsidR="00880D0E" w:rsidRPr="003B2361" w:rsidRDefault="00313565" w:rsidP="00EA188C">
            <w:r w:rsidRPr="003B2361">
              <w:t>Gjennomføringsplan 2022_UTKAST TIL POLITISK BEHANLDING</w:t>
            </w:r>
          </w:p>
        </w:tc>
        <w:tc>
          <w:tcPr>
            <w:tcW w:w="0" w:type="auto"/>
          </w:tcPr>
          <w:p w14:paraId="0689C829" w14:textId="77777777" w:rsidR="00880D0E" w:rsidRPr="003B2361" w:rsidRDefault="00880D0E" w:rsidP="00EA188C"/>
        </w:tc>
      </w:tr>
      <w:tr w:rsidR="00274346" w14:paraId="25768AFE" w14:textId="77777777">
        <w:tc>
          <w:tcPr>
            <w:tcW w:w="0" w:type="auto"/>
          </w:tcPr>
          <w:p w14:paraId="52073518" w14:textId="77777777" w:rsidR="00880D0E" w:rsidRPr="003B2361" w:rsidRDefault="00313565" w:rsidP="00EA188C">
            <w:r w:rsidRPr="003B2361">
              <w:t>2</w:t>
            </w:r>
          </w:p>
        </w:tc>
        <w:tc>
          <w:tcPr>
            <w:tcW w:w="0" w:type="auto"/>
          </w:tcPr>
          <w:p w14:paraId="798CB940" w14:textId="77777777" w:rsidR="00880D0E" w:rsidRPr="003B2361" w:rsidRDefault="00313565" w:rsidP="00EA188C">
            <w:r w:rsidRPr="003B2361">
              <w:t>Status på tiltak_ gjennomføringplan for næring i 2021</w:t>
            </w:r>
          </w:p>
        </w:tc>
        <w:tc>
          <w:tcPr>
            <w:tcW w:w="0" w:type="auto"/>
          </w:tcPr>
          <w:p w14:paraId="26ABBCCB" w14:textId="77777777" w:rsidR="00880D0E" w:rsidRPr="003B2361" w:rsidRDefault="00880D0E" w:rsidP="00EA188C"/>
        </w:tc>
      </w:tr>
      <w:tr w:rsidR="00274346" w14:paraId="312A7BB0" w14:textId="77777777">
        <w:tc>
          <w:tcPr>
            <w:tcW w:w="0" w:type="auto"/>
          </w:tcPr>
          <w:p w14:paraId="4FBF048B" w14:textId="77777777" w:rsidR="00880D0E" w:rsidRPr="003B2361" w:rsidRDefault="00313565" w:rsidP="00EA188C">
            <w:r w:rsidRPr="003B2361">
              <w:t>3</w:t>
            </w:r>
          </w:p>
        </w:tc>
        <w:tc>
          <w:tcPr>
            <w:tcW w:w="0" w:type="auto"/>
          </w:tcPr>
          <w:p w14:paraId="6E1E3344" w14:textId="77777777" w:rsidR="00880D0E" w:rsidRPr="003B2361" w:rsidRDefault="00313565" w:rsidP="00EA188C">
            <w:r w:rsidRPr="003B2361">
              <w:t>Presentasjon frå Lom_spørjeundersøking næringsliv 2021</w:t>
            </w:r>
          </w:p>
        </w:tc>
        <w:tc>
          <w:tcPr>
            <w:tcW w:w="0" w:type="auto"/>
          </w:tcPr>
          <w:p w14:paraId="17A1B1B0" w14:textId="77777777" w:rsidR="00880D0E" w:rsidRPr="003B2361" w:rsidRDefault="00880D0E" w:rsidP="00EA188C"/>
        </w:tc>
      </w:tr>
    </w:tbl>
    <w:p w14:paraId="45D7E51B" w14:textId="77777777" w:rsidR="00880D0E" w:rsidRPr="003B2361" w:rsidRDefault="00880D0E" w:rsidP="00EA188C"/>
    <w:p w14:paraId="067D124E" w14:textId="77777777" w:rsidR="0030373B" w:rsidRPr="003B2361" w:rsidRDefault="00313565" w:rsidP="00DA6852">
      <w:pPr>
        <w:pStyle w:val="Overskrift2"/>
      </w:pPr>
      <w:bookmarkStart w:id="9" w:name="Innstilling"/>
      <w:r w:rsidRPr="003B2361">
        <w:t>Innstilling frå administrasjon</w:t>
      </w:r>
      <w:r w:rsidR="00AD0AB0" w:rsidRPr="003B2361">
        <w:t>s</w:t>
      </w:r>
      <w:r w:rsidRPr="003B2361">
        <w:t>s</w:t>
      </w:r>
      <w:r w:rsidR="00AD0AB0" w:rsidRPr="003B2361">
        <w:t>jefen</w:t>
      </w:r>
    </w:p>
    <w:p w14:paraId="0733F77B" w14:textId="77777777" w:rsidR="00785A9E" w:rsidRPr="003B2361" w:rsidRDefault="00785A9E" w:rsidP="00785A9E"/>
    <w:p w14:paraId="6FA9E58C" w14:textId="77777777" w:rsidR="00785A9E" w:rsidRPr="003B2361" w:rsidRDefault="00313565" w:rsidP="00423BCB">
      <w:pPr>
        <w:pStyle w:val="Listeavsnitt"/>
        <w:numPr>
          <w:ilvl w:val="0"/>
          <w:numId w:val="15"/>
        </w:numPr>
      </w:pPr>
      <w:r w:rsidRPr="003B2361">
        <w:t>Lom kommune vedtek vedlagt gjennomføringsplan for nærings- og tilflyttingsarbeidet i 2022. Planen skal opp til ny rullering i forbindelse med neste års budsjettprosess. Dersom det blir behov for større justeringar i løpet av året skal dette opp til drøftin</w:t>
      </w:r>
      <w:r w:rsidRPr="003B2361">
        <w:t xml:space="preserve">g i formannskapet. </w:t>
      </w:r>
    </w:p>
    <w:p w14:paraId="63D83114" w14:textId="77777777" w:rsidR="00785A9E" w:rsidRPr="003B2361" w:rsidRDefault="00313565" w:rsidP="00785A9E">
      <w:pPr>
        <w:pStyle w:val="Listeavsnitt"/>
        <w:numPr>
          <w:ilvl w:val="0"/>
          <w:numId w:val="15"/>
        </w:numPr>
      </w:pPr>
      <w:r w:rsidRPr="003B2361">
        <w:t xml:space="preserve">Lom lyser ut ei treårig prosjektstilling som skal jobbe tett med eksisterande administrative ressursar innan næring- og tilflyttingsarbeidet, i tråd med kommunestyrevedtak 2021/63. </w:t>
      </w:r>
    </w:p>
    <w:p w14:paraId="77DFCAF7" w14:textId="77777777" w:rsidR="00785A9E" w:rsidRPr="003B2361" w:rsidRDefault="00313565" w:rsidP="00785A9E">
      <w:pPr>
        <w:pStyle w:val="Listeavsnitt"/>
      </w:pPr>
      <w:r w:rsidRPr="003B2361">
        <w:t>Vedkommande skal bidra til å gjennomføre tiltaka som f</w:t>
      </w:r>
      <w:r w:rsidRPr="003B2361">
        <w:t xml:space="preserve">oreslått i denne planen. </w:t>
      </w:r>
    </w:p>
    <w:p w14:paraId="5F7A6BDA" w14:textId="77777777" w:rsidR="00785A9E" w:rsidRPr="003B2361" w:rsidRDefault="00785A9E" w:rsidP="00785A9E"/>
    <w:p w14:paraId="7688696D" w14:textId="77777777" w:rsidR="003C4C76" w:rsidRPr="003B2361" w:rsidRDefault="00313565" w:rsidP="00837AFE">
      <w:pPr>
        <w:pStyle w:val="Skjulttekst"/>
      </w:pPr>
      <w:r w:rsidRPr="003B2361">
        <w:t>Slutt på innstilling</w:t>
      </w:r>
    </w:p>
    <w:bookmarkEnd w:id="9"/>
    <w:p w14:paraId="6A4175A1" w14:textId="77777777" w:rsidR="005E48A9" w:rsidRPr="003B2361" w:rsidRDefault="00313565" w:rsidP="00DA6852">
      <w:pPr>
        <w:pStyle w:val="Overskrift2"/>
      </w:pPr>
      <w:r w:rsidRPr="003B2361">
        <w:t>Saksutgreiing</w:t>
      </w:r>
    </w:p>
    <w:p w14:paraId="6C4A8537" w14:textId="77777777" w:rsidR="00404027" w:rsidRPr="003B2361" w:rsidRDefault="00313565" w:rsidP="005E48A9">
      <w:bookmarkStart w:id="10" w:name="Start"/>
      <w:bookmarkEnd w:id="10"/>
      <w:r w:rsidRPr="003B2361">
        <w:t xml:space="preserve">I fjor </w:t>
      </w:r>
      <w:r w:rsidR="00785A9E" w:rsidRPr="003B2361">
        <w:t xml:space="preserve">vart det for fyrste gong utarbeidd ein gjennomføringsplan </w:t>
      </w:r>
      <w:r w:rsidR="000E21F8" w:rsidRPr="003B2361">
        <w:t>i 2021</w:t>
      </w:r>
      <w:r w:rsidR="00E962A2" w:rsidRPr="003B2361">
        <w:t>, og dette er ei rullering av denne planen.</w:t>
      </w:r>
      <w:r w:rsidRPr="003B2361">
        <w:t xml:space="preserve"> Den </w:t>
      </w:r>
      <w:r w:rsidR="00777279" w:rsidRPr="003B2361">
        <w:t xml:space="preserve">skal </w:t>
      </w:r>
      <w:r w:rsidRPr="003B2361">
        <w:t>fungere som eit arbeidsverktøy for administrasjonen og som eit styring</w:t>
      </w:r>
      <w:r w:rsidRPr="003B2361">
        <w:t>sverktøy for politisk nivå</w:t>
      </w:r>
      <w:r w:rsidR="00E962A2" w:rsidRPr="003B2361">
        <w:t xml:space="preserve"> gjennom året</w:t>
      </w:r>
      <w:r w:rsidRPr="003B2361">
        <w:t xml:space="preserve">. </w:t>
      </w:r>
      <w:r w:rsidR="00D6007C" w:rsidRPr="003B2361">
        <w:t xml:space="preserve">Hausten 2021 vart det gjennomført ei spørjeundersøking opp mot lokalt næringsliv, som ga viktig innsikt i kva næringslivet sjølv meiner er essensielle arbeidsoppgåver for kommunen. Dette har vorte vektlagt i planen, og ligg også vedlagt saka. Utover det baserer planen seg på følgjande dokument: </w:t>
      </w:r>
      <w:r w:rsidR="00D67090" w:rsidRPr="003B2361">
        <w:t xml:space="preserve"> </w:t>
      </w:r>
    </w:p>
    <w:p w14:paraId="01E5861F" w14:textId="77777777" w:rsidR="00D6007C" w:rsidRPr="003B2361" w:rsidRDefault="00313565" w:rsidP="00D6007C">
      <w:pPr>
        <w:pStyle w:val="Listeavsnitt"/>
        <w:numPr>
          <w:ilvl w:val="0"/>
          <w:numId w:val="19"/>
        </w:numPr>
      </w:pPr>
      <w:r w:rsidRPr="003B2361">
        <w:t>Dei overordna måla og strategiane som ligg i nåverande samfunnsplan</w:t>
      </w:r>
      <w:r w:rsidR="0096513F" w:rsidRPr="003B2361">
        <w:t xml:space="preserve"> (vedlagt)</w:t>
      </w:r>
      <w:r w:rsidRPr="003B2361">
        <w:t xml:space="preserve"> </w:t>
      </w:r>
    </w:p>
    <w:p w14:paraId="5D56FF8B" w14:textId="77777777" w:rsidR="00D6007C" w:rsidRPr="003B2361" w:rsidRDefault="00313565" w:rsidP="00D6007C">
      <w:pPr>
        <w:pStyle w:val="Listeavsnitt"/>
        <w:numPr>
          <w:ilvl w:val="0"/>
          <w:numId w:val="19"/>
        </w:numPr>
      </w:pPr>
      <w:r w:rsidRPr="003B2361">
        <w:t>Gjennomføringsplanen for 2021 (rullering)</w:t>
      </w:r>
    </w:p>
    <w:p w14:paraId="6D965EBF" w14:textId="77777777" w:rsidR="00D67090" w:rsidRPr="003B2361" w:rsidRDefault="00313565" w:rsidP="00D6007C">
      <w:pPr>
        <w:pStyle w:val="Listeavsnitt"/>
        <w:numPr>
          <w:ilvl w:val="0"/>
          <w:numId w:val="19"/>
        </w:numPr>
      </w:pPr>
      <w:r w:rsidRPr="003B2361">
        <w:t>Økonomi- og handlingsplanen 2022-2024</w:t>
      </w:r>
    </w:p>
    <w:p w14:paraId="3CBDC1C5" w14:textId="77777777" w:rsidR="00D6007C" w:rsidRPr="003B2361" w:rsidRDefault="00313565" w:rsidP="00E962A2">
      <w:r w:rsidRPr="003B2361">
        <w:lastRenderedPageBreak/>
        <w:t xml:space="preserve">I sistnemnte plan står følgjande under kapittelet om næringsutvikling: </w:t>
      </w:r>
    </w:p>
    <w:p w14:paraId="56BF6A1F" w14:textId="77777777" w:rsidR="00E962A2" w:rsidRPr="003B2361" w:rsidRDefault="00313565" w:rsidP="00E962A2">
      <w:pPr>
        <w:rPr>
          <w:i/>
          <w:iCs/>
        </w:rPr>
      </w:pPr>
      <w:r w:rsidRPr="003B2361">
        <w:rPr>
          <w:i/>
          <w:iCs/>
        </w:rPr>
        <w:t>I 2022 sender kommunen inn søknad om å delta i innovasjonsprogrammet GNIST. Dette er eit stad</w:t>
      </w:r>
      <w:r w:rsidR="00777279" w:rsidRPr="003B2361">
        <w:rPr>
          <w:i/>
          <w:iCs/>
        </w:rPr>
        <w:t xml:space="preserve">- </w:t>
      </w:r>
      <w:r w:rsidRPr="003B2361">
        <w:rPr>
          <w:i/>
          <w:iCs/>
        </w:rPr>
        <w:t>og næringsutviklingsprogram i regi av DOGA (design- og arkitektur i Norge) og Nordic Edge, der 5-10 kommunar blir valt ut pr. år. Det krev ein prosjektleiar i 20 % stilling og ein eigenandel på kr. 200 000. Innlandet fylkeskommune kan vere ein mogleg bidra</w:t>
      </w:r>
      <w:r w:rsidRPr="003B2361">
        <w:rPr>
          <w:i/>
          <w:iCs/>
        </w:rPr>
        <w:t xml:space="preserve">gsytar til dette prosjektet. Attende vil kommunen få tilgang til DOGA sin arkitektur- og prosessleiarkompetanse knytt til eit konkret case. </w:t>
      </w:r>
      <w:r w:rsidR="00D6007C" w:rsidRPr="003B2361">
        <w:rPr>
          <w:i/>
          <w:iCs/>
        </w:rPr>
        <w:br/>
      </w:r>
      <w:r w:rsidR="00D6007C" w:rsidRPr="003B2361">
        <w:rPr>
          <w:i/>
          <w:iCs/>
        </w:rPr>
        <w:br/>
      </w:r>
      <w:r w:rsidRPr="003B2361">
        <w:rPr>
          <w:i/>
          <w:iCs/>
        </w:rPr>
        <w:t>Å jobbe med å utvikle attraktive kontorfellesskap blir stadig viktigare. Stadsuavhengige arbeidsplassar kjem for f</w:t>
      </w:r>
      <w:r w:rsidRPr="003B2361">
        <w:rPr>
          <w:i/>
          <w:iCs/>
        </w:rPr>
        <w:t>ullt, forutsett gode rammevilkår og at kommunen klarer å utnytte handlingsrommet som ligg der. Kommunen kan ha fleire roller i dette arbeidet, gjerne i samarbeid med private aktørar. Det kan handle om finansiering av infrastruktur, omdømmebygging og synleg</w:t>
      </w:r>
      <w:r w:rsidRPr="003B2361">
        <w:rPr>
          <w:i/>
          <w:iCs/>
        </w:rPr>
        <w:t xml:space="preserve">gjering, bookingløysingar, bidra til å skape innhald og gratis kontorplassar for nyetablerte. Vidare ynskjer kommunen å legge til rette for etablering av kompetansearbeidsplassar i samarbeid med relevante aktørar lokalt og nasjonalt. </w:t>
      </w:r>
      <w:r w:rsidR="00D6007C" w:rsidRPr="003B2361">
        <w:rPr>
          <w:i/>
          <w:iCs/>
        </w:rPr>
        <w:br/>
      </w:r>
      <w:r w:rsidR="00D6007C" w:rsidRPr="003B2361">
        <w:rPr>
          <w:i/>
          <w:iCs/>
        </w:rPr>
        <w:br/>
      </w:r>
      <w:r w:rsidRPr="003B2361">
        <w:rPr>
          <w:i/>
          <w:iCs/>
        </w:rPr>
        <w:t xml:space="preserve">Lom kommune har som </w:t>
      </w:r>
      <w:r w:rsidRPr="003B2361">
        <w:rPr>
          <w:i/>
          <w:iCs/>
        </w:rPr>
        <w:t xml:space="preserve">mål å arbeide aktivt med bustadutvikling. I 2021 vart det oppretta ei strategisk gruppe for bustadutvikling i Lom med mål om å jobbe meir strategisk med bustadutvikling. Dette kan inkludere auka bruk og marknadsføring av startlån, annonsering av kommunale </w:t>
      </w:r>
      <w:r w:rsidRPr="003B2361">
        <w:rPr>
          <w:i/>
          <w:iCs/>
        </w:rPr>
        <w:t xml:space="preserve">bustadtomter, sal av kommunale bustadar og liknande. Det er ei målsetting at den nye samfunnsplanen skal innehalde bustadpolitiske mål som strategisk bustadgruppe kan jobbe konkret med i 2022. </w:t>
      </w:r>
      <w:r w:rsidR="00D6007C" w:rsidRPr="003B2361">
        <w:rPr>
          <w:i/>
          <w:iCs/>
        </w:rPr>
        <w:br/>
      </w:r>
      <w:r w:rsidR="00D6007C" w:rsidRPr="003B2361">
        <w:rPr>
          <w:i/>
          <w:iCs/>
        </w:rPr>
        <w:br/>
      </w:r>
      <w:r w:rsidRPr="003B2361">
        <w:rPr>
          <w:i/>
          <w:iCs/>
        </w:rPr>
        <w:t>Lom kommune skal arbeide aktivt med omdømme-, tilflytting- og</w:t>
      </w:r>
      <w:r w:rsidRPr="003B2361">
        <w:rPr>
          <w:i/>
          <w:iCs/>
        </w:rPr>
        <w:t xml:space="preserve"> integreringsarbeid. Dette arbeidet starta i 2021 og er ei prioritert oppgåve vidare. </w:t>
      </w:r>
      <w:r w:rsidR="00D6007C" w:rsidRPr="003B2361">
        <w:rPr>
          <w:i/>
          <w:iCs/>
        </w:rPr>
        <w:br/>
      </w:r>
      <w:r w:rsidR="00D6007C" w:rsidRPr="003B2361">
        <w:rPr>
          <w:i/>
          <w:iCs/>
        </w:rPr>
        <w:br/>
      </w:r>
      <w:r w:rsidRPr="003B2361">
        <w:rPr>
          <w:i/>
          <w:iCs/>
        </w:rPr>
        <w:t>I Sogndal kommune har ein sidan 2000-talet øyremerka inntekt frå parkeringsavgifta til sentrumsføremål. Inntekta har vorte brukt som kommunal eigenandel til finansierin</w:t>
      </w:r>
      <w:r w:rsidRPr="003B2361">
        <w:rPr>
          <w:i/>
          <w:iCs/>
        </w:rPr>
        <w:t>g av m.a. fellesgoder, parkeringshus og den berømte fjordstigen til 30 millionar. I tillegg har det skapt naturleg rullering på parkeringsplassane i sentrum. Lom kommune skal utgreie om det er aktuelt å innføre parkeringsavgift på Fossbergom, tilpassa loka</w:t>
      </w:r>
      <w:r w:rsidRPr="003B2361">
        <w:rPr>
          <w:i/>
          <w:iCs/>
        </w:rPr>
        <w:t xml:space="preserve">le forhold. </w:t>
      </w:r>
      <w:r w:rsidR="00D6007C" w:rsidRPr="003B2361">
        <w:rPr>
          <w:i/>
          <w:iCs/>
        </w:rPr>
        <w:br/>
      </w:r>
      <w:r w:rsidR="00D6007C" w:rsidRPr="003B2361">
        <w:rPr>
          <w:i/>
          <w:iCs/>
        </w:rPr>
        <w:br/>
      </w:r>
      <w:r w:rsidRPr="003B2361">
        <w:rPr>
          <w:i/>
          <w:iCs/>
        </w:rPr>
        <w:t xml:space="preserve">Lom kommune skal legge til rette for nyetableringar og vidareutvikling av eksisterande verksemder i tråd med vedteken årleg gjennomføringsplan for næring. </w:t>
      </w:r>
      <w:r w:rsidR="00D6007C" w:rsidRPr="003B2361">
        <w:rPr>
          <w:i/>
          <w:iCs/>
        </w:rPr>
        <w:br/>
      </w:r>
      <w:r w:rsidR="00D6007C" w:rsidRPr="003B2361">
        <w:rPr>
          <w:i/>
          <w:iCs/>
        </w:rPr>
        <w:br/>
      </w:r>
      <w:r w:rsidRPr="003B2361">
        <w:rPr>
          <w:i/>
          <w:iCs/>
        </w:rPr>
        <w:t>Forprosjektet om å etablere eit nasjonalt kompetansesenter for fjellredning i Lom går</w:t>
      </w:r>
      <w:r w:rsidRPr="003B2361">
        <w:rPr>
          <w:i/>
          <w:iCs/>
        </w:rPr>
        <w:t xml:space="preserve"> mot slutten og Lom kommune fortset å støtte prosjektet no som hovudprosjektet skal riggast. </w:t>
      </w:r>
      <w:r w:rsidR="00D6007C" w:rsidRPr="003B2361">
        <w:rPr>
          <w:i/>
          <w:iCs/>
        </w:rPr>
        <w:br/>
      </w:r>
      <w:r w:rsidR="00D6007C" w:rsidRPr="003B2361">
        <w:rPr>
          <w:i/>
          <w:iCs/>
        </w:rPr>
        <w:br/>
      </w:r>
      <w:r w:rsidRPr="003B2361">
        <w:rPr>
          <w:i/>
          <w:iCs/>
        </w:rPr>
        <w:t>Det er etablert eit prosjekt for å legge til rette for eit tettare næringssamarbeid på tvers av kommunegrensene i Nord-Gudbrandsdalen. Arbeidet starta opp i juni</w:t>
      </w:r>
      <w:r w:rsidRPr="003B2361">
        <w:rPr>
          <w:i/>
          <w:iCs/>
        </w:rPr>
        <w:t xml:space="preserve"> 2021, og vil bli avslutta og eventuelt implementert inn i løpet av 2022. Prosjektet er finansiert gjennom skjønnsmidlar frå Statsforvaltaren i Innlandet. </w:t>
      </w:r>
      <w:r w:rsidR="00D6007C" w:rsidRPr="003B2361">
        <w:rPr>
          <w:i/>
          <w:iCs/>
        </w:rPr>
        <w:br/>
      </w:r>
      <w:r w:rsidR="00D6007C" w:rsidRPr="003B2361">
        <w:rPr>
          <w:i/>
          <w:iCs/>
        </w:rPr>
        <w:br/>
      </w:r>
      <w:r w:rsidRPr="003B2361">
        <w:rPr>
          <w:i/>
          <w:iCs/>
        </w:rPr>
        <w:t>Lom kommune skal arbeide for styrke reiseliv- og handelsnæringa, og Lom som arrangementsstad. Det e</w:t>
      </w:r>
      <w:r w:rsidRPr="003B2361">
        <w:rPr>
          <w:i/>
          <w:iCs/>
        </w:rPr>
        <w:t>r viktig at Lom får på plass betre kapasitet for lading av el-bilar. Lom har fått midlar til fase 1 i sertifiseringsordninga "berekraftig destinasjon" gjennom Innovasjon Norge, og dette arbeidet startar 20 for fullt i 2022. Visit Jotunheimen er prosjektlei</w:t>
      </w:r>
      <w:r w:rsidRPr="003B2361">
        <w:rPr>
          <w:i/>
          <w:iCs/>
        </w:rPr>
        <w:t xml:space="preserve">ar, men kommunen skal og må vere ein aktiv bidragsytar. </w:t>
      </w:r>
      <w:r w:rsidR="00D6007C" w:rsidRPr="003B2361">
        <w:rPr>
          <w:i/>
          <w:iCs/>
        </w:rPr>
        <w:br/>
      </w:r>
      <w:r w:rsidR="00D6007C" w:rsidRPr="003B2361">
        <w:rPr>
          <w:i/>
          <w:iCs/>
        </w:rPr>
        <w:br/>
      </w:r>
      <w:r w:rsidRPr="003B2361">
        <w:rPr>
          <w:i/>
          <w:iCs/>
        </w:rPr>
        <w:t>Lom kommune skal arbeide for sentrumsutvikling og vidareutvikling av Lom nasjonalparklandsby. Bygging av eldhuset i Presthaugen er no fullfinansiert, og skal etter planen stå ferdig i april 2022. Si</w:t>
      </w:r>
      <w:r w:rsidRPr="003B2361">
        <w:rPr>
          <w:i/>
          <w:iCs/>
        </w:rPr>
        <w:t xml:space="preserve">dan kommunen er byggherre og initiativtakar vil dette krevje oppfølging i samarbeid med andre, </w:t>
      </w:r>
      <w:r w:rsidRPr="003B2361">
        <w:rPr>
          <w:i/>
          <w:iCs/>
        </w:rPr>
        <w:lastRenderedPageBreak/>
        <w:t xml:space="preserve">slik som planlegging av offisiell opning, innkjøp av inventar, drift og rapportering. </w:t>
      </w:r>
      <w:r w:rsidR="00D6007C" w:rsidRPr="003B2361">
        <w:rPr>
          <w:i/>
          <w:iCs/>
        </w:rPr>
        <w:br/>
      </w:r>
      <w:r w:rsidR="00D6007C" w:rsidRPr="003B2361">
        <w:rPr>
          <w:i/>
          <w:iCs/>
        </w:rPr>
        <w:br/>
      </w:r>
      <w:r w:rsidRPr="003B2361">
        <w:rPr>
          <w:i/>
          <w:iCs/>
        </w:rPr>
        <w:t>Årleg avsetning på næringsfondet ligg på rundt 4,8 millionar. Lom kommune</w:t>
      </w:r>
      <w:r w:rsidRPr="003B2361">
        <w:rPr>
          <w:i/>
          <w:iCs/>
        </w:rPr>
        <w:t xml:space="preserve"> har eit relativt romsleg næringsfond som kan brukast til å støtte opp om prioriterte satsingar. Samtidig er det ei utfordring at årleg avsetting er relativt stabil, mens "faste løyvingar" frå fondet aukar i tråd med den generelle pris- og lønsauka. Både n</w:t>
      </w:r>
      <w:r w:rsidRPr="003B2361">
        <w:rPr>
          <w:i/>
          <w:iCs/>
        </w:rPr>
        <w:t>æringskontor, regionkontor og delar av landbrukskontor er dekt gjennom næringsfondmidlane. Bruken av fondet er regulert gjennom vedtektene og retningslinjene for tildeling. Kommunen skal bidra til å auke tilskotsmidlar til næringslivet gjennom søknadar i u</w:t>
      </w:r>
      <w:r w:rsidRPr="003B2361">
        <w:rPr>
          <w:i/>
          <w:iCs/>
        </w:rPr>
        <w:t>like eksterne ordningar.</w:t>
      </w:r>
    </w:p>
    <w:p w14:paraId="08571303" w14:textId="77777777" w:rsidR="0096513F" w:rsidRPr="003B2361" w:rsidRDefault="00313565" w:rsidP="005E48A9">
      <w:pPr>
        <w:rPr>
          <w:rFonts w:eastAsiaTheme="minorHAnsi" w:cstheme="minorBidi"/>
          <w:szCs w:val="22"/>
          <w:lang w:eastAsia="en-US"/>
        </w:rPr>
      </w:pPr>
      <w:r w:rsidRPr="003B2361">
        <w:t xml:space="preserve">I kommunestyrevedtak frå 30.11.2021 vedtok kommunestyret å </w:t>
      </w:r>
      <w:r w:rsidRPr="003B2361">
        <w:rPr>
          <w:i/>
          <w:iCs/>
        </w:rPr>
        <w:t>"</w:t>
      </w:r>
      <w:r w:rsidRPr="003B2361">
        <w:rPr>
          <w:rFonts w:eastAsiaTheme="minorHAnsi" w:cstheme="minorBidi"/>
          <w:i/>
          <w:iCs/>
          <w:szCs w:val="22"/>
          <w:lang w:eastAsia="en-US"/>
        </w:rPr>
        <w:t>styrke næringsarbeidet i kommunen, jamfør alternativ 3 i saksutgreiinga. Prosjektet må definerast gjennom handlingsdelen til budsjettet og sjåast i samanheng med næringssa</w:t>
      </w:r>
      <w:r w:rsidRPr="003B2361">
        <w:rPr>
          <w:rFonts w:eastAsiaTheme="minorHAnsi" w:cstheme="minorBidi"/>
          <w:i/>
          <w:iCs/>
          <w:szCs w:val="22"/>
          <w:lang w:eastAsia="en-US"/>
        </w:rPr>
        <w:t>tsinga som er føreslegen der</w:t>
      </w:r>
      <w:r w:rsidRPr="003B2361">
        <w:rPr>
          <w:rFonts w:eastAsiaTheme="minorHAnsi" w:cstheme="minorBidi"/>
          <w:szCs w:val="22"/>
          <w:lang w:eastAsia="en-US"/>
        </w:rPr>
        <w:t xml:space="preserve">". </w:t>
      </w:r>
      <w:r w:rsidR="00240088" w:rsidRPr="003B2361">
        <w:rPr>
          <w:rFonts w:eastAsiaTheme="minorHAnsi" w:cstheme="minorBidi"/>
          <w:szCs w:val="22"/>
          <w:lang w:eastAsia="en-US"/>
        </w:rPr>
        <w:br/>
        <w:t xml:space="preserve">Det vises til alternativ 3 i saksutgreiiga, der det står at ei slik stilling kan vere både fast og innleigd, eittårig eller treårig eller basert på intern eller ekstern kompetanse. Særleg spørsmålet om innleigd eller ekstern kompetanse har vorte administrativt diskutert, da det finst klare ulemper og fordelar med begge alternativa. Etter ei samla vurdering har administrasjonssjefen konkludert med at det er mest fordelar knytt til å bygge kompetansen i eigen organisasjon og innstiller derfor på å tilsette ein person i ei prosjektstilling på 100%.  </w:t>
      </w:r>
      <w:r w:rsidRPr="003B2361">
        <w:rPr>
          <w:rFonts w:eastAsiaTheme="minorHAnsi" w:cstheme="minorBidi"/>
          <w:szCs w:val="22"/>
          <w:lang w:eastAsia="en-US"/>
        </w:rPr>
        <w:br/>
        <w:t xml:space="preserve">Finansieringa av stillinga </w:t>
      </w:r>
      <w:r w:rsidR="00995651" w:rsidRPr="003B2361">
        <w:rPr>
          <w:rFonts w:eastAsiaTheme="minorHAnsi" w:cstheme="minorBidi"/>
          <w:szCs w:val="22"/>
          <w:lang w:eastAsia="en-US"/>
        </w:rPr>
        <w:t xml:space="preserve">er </w:t>
      </w:r>
      <w:r w:rsidRPr="003B2361">
        <w:rPr>
          <w:rFonts w:eastAsiaTheme="minorHAnsi" w:cstheme="minorBidi"/>
          <w:szCs w:val="22"/>
          <w:lang w:eastAsia="en-US"/>
        </w:rPr>
        <w:t xml:space="preserve">ein del av totalsummen på kr. 2 000 000 som har vorte avsett for å styrke næringsarbeidet i 2022 – 2024: </w:t>
      </w:r>
    </w:p>
    <w:p w14:paraId="0F811536" w14:textId="77777777" w:rsidR="0096513F" w:rsidRPr="003B2361" w:rsidRDefault="00313565" w:rsidP="005E48A9">
      <w:pPr>
        <w:rPr>
          <w:i/>
          <w:iCs/>
        </w:rPr>
      </w:pPr>
      <w:r w:rsidRPr="003B2361">
        <w:rPr>
          <w:i/>
          <w:iCs/>
        </w:rPr>
        <w:t>For å styrke næringsarbeidet er det lagt inn e</w:t>
      </w:r>
      <w:r w:rsidRPr="003B2361">
        <w:rPr>
          <w:i/>
          <w:iCs/>
        </w:rPr>
        <w:t>i budsjettramme med 2 mill. kroner over 3 år. Dette skal bidra til ei auka satsing på kompetansearbeidsplassar, stadsuavhengige arbeidsplassar og bustadutvikling. Tiltaka blir finansiert gjennom bruk av bundne fond (Smådøla) 1 mill. kroner, disposisjonsfon</w:t>
      </w:r>
      <w:r w:rsidRPr="003B2361">
        <w:rPr>
          <w:i/>
          <w:iCs/>
        </w:rPr>
        <w:t xml:space="preserve">d 750.000 kroner og næringsfond 250.000 kroner (økonomi- og handlingsplanen for 2022 – 2024). </w:t>
      </w:r>
    </w:p>
    <w:p w14:paraId="66177828" w14:textId="77777777" w:rsidR="003A52AD" w:rsidRPr="003B2361" w:rsidRDefault="00313565" w:rsidP="005E48A9">
      <w:r w:rsidRPr="003B2361">
        <w:t>Gjennomføringsplanen er altså ei ytterlegare konkretisering av det som</w:t>
      </w:r>
      <w:r w:rsidR="00995651" w:rsidRPr="003B2361">
        <w:t xml:space="preserve"> allereie</w:t>
      </w:r>
      <w:r w:rsidRPr="003B2361">
        <w:t xml:space="preserve"> er vedtatt i økonomi- og handlingsdelen. </w:t>
      </w:r>
      <w:r w:rsidR="00AA1F91" w:rsidRPr="003B2361">
        <w:t xml:space="preserve">Majoriteten av delmåla er tenkt gjennomført i 2022, men det er lagt inn enkelte tiltak lenger fram i økonomiplanperioden. </w:t>
      </w:r>
      <w:r w:rsidR="00240088" w:rsidRPr="003B2361">
        <w:t xml:space="preserve">Status for gjennomføringsplanen i 2021 ligg vedlagt saka, for å synleggjere kva som har vorte gjennomført og kvifor / kvifor ikkje. Nokre av tiltaka har vorte utsett eller vidareført til 2022. </w:t>
      </w:r>
      <w:r w:rsidR="00AA1F91" w:rsidRPr="003B2361">
        <w:t xml:space="preserve">I tillegg er det mange tiltak som vil bli gjennomført kontinuerleg / etter behov, og som primært står i planen for å bli synleggjort. </w:t>
      </w:r>
      <w:r w:rsidR="0096513F" w:rsidRPr="003B2361">
        <w:t xml:space="preserve"> </w:t>
      </w:r>
      <w:r w:rsidR="0096513F" w:rsidRPr="003B2361">
        <w:br/>
      </w:r>
      <w:r w:rsidR="004D6F6A" w:rsidRPr="003B2361">
        <w:br/>
        <w:t>Tradisjonelt landbruk blir fulgt opp av felles landbrukskontor for Lom og Skjåk, der Skjåk er vertskapskommune. Dei har derfor sitt eige planverk som dei følger, og arbeidsoppgåver som blir utført av landbrukskontoret er derfor ikkje synleggjort i denne planen.</w:t>
      </w:r>
      <w:r w:rsidR="00995651" w:rsidRPr="003B2361">
        <w:t xml:space="preserve"> Det same gjeld for skogbruk, som blir fulgt opp av skogbrukssjefen.</w:t>
      </w:r>
      <w:r w:rsidR="004D6F6A" w:rsidRPr="003B2361">
        <w:t xml:space="preserve"> Når det er sagt er det naturleg med samarbeid på mange områder, t.d. når det gjeld konsesjonsbehandling av både bustadar og næringstomter, informasjonsarbeid, omdømmebygging, </w:t>
      </w:r>
      <w:r w:rsidR="00995651" w:rsidRPr="003B2361">
        <w:t xml:space="preserve">rekruttering, arrangement, Gudbrandsdal slakteri, ulike former for tilleggsnæring og utviklingsarbeid i </w:t>
      </w:r>
      <w:r w:rsidR="004D6F6A" w:rsidRPr="003B2361">
        <w:t>skjæringspunktet mellom mat, reiseliv og foredling</w:t>
      </w:r>
      <w:r w:rsidR="00995651" w:rsidRPr="003B2361">
        <w:t xml:space="preserve">. </w:t>
      </w:r>
      <w:r w:rsidR="004D6F6A" w:rsidRPr="003B2361">
        <w:br/>
        <w:t xml:space="preserve">Ei ekstra stillingsressurs på næring kan derfor bidra til at dette arbeidet blir enda tettare og betre utnytta enn i dag. </w:t>
      </w:r>
    </w:p>
    <w:p w14:paraId="2D697192" w14:textId="77777777" w:rsidR="000F4CED" w:rsidRPr="003B2361" w:rsidRDefault="00313565" w:rsidP="005E48A9">
      <w:r w:rsidRPr="003B2361">
        <w:t>D</w:t>
      </w:r>
      <w:r w:rsidRPr="003B2361">
        <w:t>et er elles greitt å merke seg at landbruksnæringa blir fulgt opp av felles landbrukskontor for Lom og Skjåk, der Skjåk er vertskommune. Tiltak som primært blir gjennomført av landbrukskontoret er derfor ikkje lista opp i denne planen, men de</w:t>
      </w:r>
      <w:r w:rsidR="00D90A90" w:rsidRPr="003B2361">
        <w:t xml:space="preserve">r det er </w:t>
      </w:r>
      <w:r w:rsidRPr="003B2361">
        <w:t>natur</w:t>
      </w:r>
      <w:r w:rsidRPr="003B2361">
        <w:t>leg med overlapp og samarbei</w:t>
      </w:r>
      <w:r w:rsidR="00D90A90" w:rsidRPr="003B2361">
        <w:t xml:space="preserve">d er landbrukskontoret synleggjort under </w:t>
      </w:r>
      <w:r w:rsidR="00240088" w:rsidRPr="003B2361">
        <w:t>"</w:t>
      </w:r>
      <w:r w:rsidR="00D90A90" w:rsidRPr="003B2361">
        <w:t>administrative ressursar</w:t>
      </w:r>
      <w:r w:rsidR="00240088" w:rsidRPr="003B2361">
        <w:t>"</w:t>
      </w:r>
      <w:r w:rsidR="00D90A90" w:rsidRPr="003B2361">
        <w:t>. Dette gjeld t.d. innanfor o</w:t>
      </w:r>
      <w:r w:rsidRPr="003B2361">
        <w:t>mdømme- og informasjonsarbeid, arrangement</w:t>
      </w:r>
      <w:r w:rsidR="00D90A90" w:rsidRPr="003B2361">
        <w:t xml:space="preserve"> og revidering av retningslinjer for bruk av næringsfondet. </w:t>
      </w:r>
      <w:r w:rsidR="006846BD" w:rsidRPr="003B2361">
        <w:fldChar w:fldCharType="begin"/>
      </w:r>
      <w:r w:rsidR="006846BD" w:rsidRPr="003B2361">
        <w:instrText xml:space="preserve">  </w:instrText>
      </w:r>
      <w:r w:rsidR="006846BD" w:rsidRPr="003B2361">
        <w:fldChar w:fldCharType="end"/>
      </w:r>
      <w:r w:rsidR="00C245F1" w:rsidRPr="003B2361">
        <w:fldChar w:fldCharType="begin"/>
      </w:r>
      <w:r w:rsidR="00C245F1" w:rsidRPr="003B2361">
        <w:instrText xml:space="preserve">  </w:instrText>
      </w:r>
      <w:r w:rsidR="00C245F1" w:rsidRPr="003B2361">
        <w:fldChar w:fldCharType="end"/>
      </w:r>
    </w:p>
    <w:p w14:paraId="4136BC1D" w14:textId="77777777" w:rsidR="005E48A9" w:rsidRPr="003B2361" w:rsidRDefault="00313565" w:rsidP="00DA6852">
      <w:pPr>
        <w:pStyle w:val="Overskrift2"/>
      </w:pPr>
      <w:r w:rsidRPr="003B2361">
        <w:lastRenderedPageBreak/>
        <w:t>Vurdering</w:t>
      </w:r>
    </w:p>
    <w:p w14:paraId="6BDB88B6" w14:textId="77777777" w:rsidR="003B2361" w:rsidRPr="003B2361" w:rsidRDefault="00313565" w:rsidP="00DE25E4">
      <w:pPr>
        <w:rPr>
          <w:rFonts w:eastAsiaTheme="minorHAnsi" w:cstheme="minorBidi"/>
          <w:szCs w:val="22"/>
          <w:lang w:eastAsia="en-US"/>
        </w:rPr>
      </w:pPr>
      <w:r w:rsidRPr="003B2361">
        <w:rPr>
          <w:rFonts w:eastAsiaTheme="minorHAnsi" w:cstheme="minorBidi"/>
          <w:szCs w:val="22"/>
          <w:lang w:eastAsia="en-US"/>
        </w:rPr>
        <w:br/>
        <w:t>Det er vik</w:t>
      </w:r>
      <w:r w:rsidRPr="003B2361">
        <w:rPr>
          <w:rFonts w:eastAsiaTheme="minorHAnsi" w:cstheme="minorBidi"/>
          <w:szCs w:val="22"/>
          <w:lang w:eastAsia="en-US"/>
        </w:rPr>
        <w:t xml:space="preserve">tig å presisere at næringsutvikling er eit arbeid som må ha ein minimumsgrad av dynamikk og handlingsrom, det er ikkje alt som let seg planlegge. Men </w:t>
      </w:r>
      <w:r w:rsidRPr="003B2361">
        <w:t>planen konkretiserer dei viktigaste kjerneoppgåvene innan dette fagfeltet, og det gir politisk nivå og nær</w:t>
      </w:r>
      <w:r w:rsidRPr="003B2361">
        <w:t>ingsliv større innsikt i dei arbeidsoppgåvene som faktisk blir utført. Det gjer at det også blir lettare å justere kursen undervegs dersom arbeidet ikkje står til forventningane. Dersom det skal leggast inn fleire tiltak i planen enn det som allereie er fo</w:t>
      </w:r>
      <w:r w:rsidRPr="003B2361">
        <w:t>reslått er det naturleg at andre oppgåver må bli nedprioritert / utsett.</w:t>
      </w:r>
      <w:r w:rsidRPr="003B2361">
        <w:rPr>
          <w:rFonts w:eastAsiaTheme="minorHAnsi" w:cstheme="minorBidi"/>
          <w:szCs w:val="22"/>
          <w:lang w:eastAsia="en-US"/>
        </w:rPr>
        <w:br/>
      </w:r>
      <w:r w:rsidRPr="003B2361">
        <w:rPr>
          <w:rFonts w:eastAsiaTheme="minorHAnsi" w:cstheme="minorBidi"/>
          <w:szCs w:val="22"/>
          <w:lang w:eastAsia="en-US"/>
        </w:rPr>
        <w:br/>
      </w:r>
      <w:r w:rsidR="00E962A2" w:rsidRPr="003B2361">
        <w:rPr>
          <w:rFonts w:eastAsiaTheme="minorHAnsi" w:cstheme="minorBidi"/>
          <w:szCs w:val="22"/>
          <w:lang w:eastAsia="en-US"/>
        </w:rPr>
        <w:t xml:space="preserve">Ein auka stillingsressurs på næring- og tilflytting vil naturlegvis ha betydning for kor mange og store tiltak det er realistisk å legge inn i gjennomføringsplanen. Vedlagt plan har derfor eit høgare ambisjonsnivå enn i 2021, med den forutsetninga at det er mogleg å rekruttere ein ressurs som har god kompetanse / erfaring innanfor næringsutvikling, og som kan starte i jobben relativt raskt. Det er </w:t>
      </w:r>
      <w:r w:rsidRPr="003B2361">
        <w:rPr>
          <w:rFonts w:eastAsiaTheme="minorHAnsi" w:cstheme="minorBidi"/>
          <w:szCs w:val="22"/>
          <w:lang w:eastAsia="en-US"/>
        </w:rPr>
        <w:t xml:space="preserve">ynskjeleg </w:t>
      </w:r>
      <w:r w:rsidR="00E962A2" w:rsidRPr="003B2361">
        <w:rPr>
          <w:rFonts w:eastAsiaTheme="minorHAnsi" w:cstheme="minorBidi"/>
          <w:szCs w:val="22"/>
          <w:lang w:eastAsia="en-US"/>
        </w:rPr>
        <w:t>å få med stillinga på stillingssleppet i februar 2022</w:t>
      </w:r>
      <w:r w:rsidR="00777279" w:rsidRPr="003B2361">
        <w:rPr>
          <w:rFonts w:eastAsiaTheme="minorHAnsi" w:cstheme="minorBidi"/>
          <w:szCs w:val="22"/>
          <w:lang w:eastAsia="en-US"/>
        </w:rPr>
        <w:t>, men det er neppe realistisk å få på plass nokon</w:t>
      </w:r>
      <w:r w:rsidRPr="003B2361">
        <w:rPr>
          <w:rFonts w:eastAsiaTheme="minorHAnsi" w:cstheme="minorBidi"/>
          <w:szCs w:val="22"/>
          <w:lang w:eastAsia="en-US"/>
        </w:rPr>
        <w:t xml:space="preserve"> før sumaren 2022. I tillegg må det avsettast ein del tid til opplæring etc. haust / vinter 2022.</w:t>
      </w:r>
    </w:p>
    <w:p w14:paraId="6018A8B3" w14:textId="77777777" w:rsidR="00777279" w:rsidRPr="003B2361" w:rsidRDefault="00313565" w:rsidP="00DE25E4">
      <w:pPr>
        <w:rPr>
          <w:rFonts w:eastAsiaTheme="minorHAnsi" w:cstheme="minorBidi"/>
          <w:szCs w:val="22"/>
          <w:lang w:eastAsia="en-US"/>
        </w:rPr>
      </w:pPr>
      <w:r w:rsidRPr="003B2361">
        <w:rPr>
          <w:rFonts w:eastAsiaTheme="minorHAnsi" w:cstheme="minorBidi"/>
          <w:szCs w:val="22"/>
          <w:lang w:eastAsia="en-US"/>
        </w:rPr>
        <w:br/>
      </w:r>
      <w:r w:rsidR="00E962A2" w:rsidRPr="003B2361">
        <w:rPr>
          <w:rFonts w:eastAsiaTheme="minorHAnsi" w:cstheme="minorBidi"/>
          <w:szCs w:val="22"/>
          <w:lang w:eastAsia="en-US"/>
        </w:rPr>
        <w:t xml:space="preserve">Av dei to millionane som er avsett i 2022 er nokre av midlane allereie løyvd til konkrete tiltak, mens resterande midlar gir oss eit handlingsrom. </w:t>
      </w:r>
      <w:r w:rsidRPr="003B2361">
        <w:rPr>
          <w:rFonts w:eastAsiaTheme="minorHAnsi" w:cstheme="minorBidi"/>
          <w:szCs w:val="22"/>
          <w:lang w:eastAsia="en-US"/>
        </w:rPr>
        <w:t xml:space="preserve">Korleis desse er tenkt brukt er skissert i planen, i tillegg blir det gitt ei oversikt her: </w:t>
      </w:r>
    </w:p>
    <w:tbl>
      <w:tblPr>
        <w:tblW w:w="6760" w:type="dxa"/>
        <w:tblCellMar>
          <w:left w:w="70" w:type="dxa"/>
          <w:right w:w="70" w:type="dxa"/>
        </w:tblCellMar>
        <w:tblLook w:val="04A0" w:firstRow="1" w:lastRow="0" w:firstColumn="1" w:lastColumn="0" w:noHBand="0" w:noVBand="1"/>
      </w:tblPr>
      <w:tblGrid>
        <w:gridCol w:w="5560"/>
        <w:gridCol w:w="1200"/>
      </w:tblGrid>
      <w:tr w:rsidR="00274346" w14:paraId="0D1333FF" w14:textId="77777777" w:rsidTr="00A75EB0">
        <w:trPr>
          <w:trHeight w:val="300"/>
        </w:trPr>
        <w:tc>
          <w:tcPr>
            <w:tcW w:w="5560" w:type="dxa"/>
            <w:tcBorders>
              <w:top w:val="nil"/>
              <w:left w:val="nil"/>
              <w:bottom w:val="nil"/>
              <w:right w:val="nil"/>
            </w:tcBorders>
            <w:shd w:val="clear" w:color="auto" w:fill="auto"/>
            <w:noWrap/>
            <w:vAlign w:val="bottom"/>
            <w:hideMark/>
          </w:tcPr>
          <w:p w14:paraId="2D0CBB29" w14:textId="77777777" w:rsidR="00A75EB0" w:rsidRPr="003B2361" w:rsidRDefault="00A75EB0" w:rsidP="00A75EB0">
            <w:pPr>
              <w:spacing w:after="0"/>
              <w:rPr>
                <w:rFonts w:ascii="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5C74EF75" w14:textId="77777777" w:rsidR="00A75EB0" w:rsidRPr="003B2361" w:rsidRDefault="00313565" w:rsidP="00A75EB0">
            <w:pPr>
              <w:spacing w:after="0"/>
              <w:jc w:val="right"/>
              <w:rPr>
                <w:rFonts w:cs="Calibri"/>
                <w:b/>
                <w:bCs/>
                <w:color w:val="000000"/>
                <w:szCs w:val="22"/>
              </w:rPr>
            </w:pPr>
            <w:r w:rsidRPr="003B2361">
              <w:rPr>
                <w:rFonts w:cs="Calibri"/>
                <w:b/>
                <w:bCs/>
                <w:color w:val="000000"/>
                <w:szCs w:val="22"/>
              </w:rPr>
              <w:t>2022</w:t>
            </w:r>
          </w:p>
        </w:tc>
      </w:tr>
      <w:tr w:rsidR="00274346" w14:paraId="756462AB" w14:textId="77777777" w:rsidTr="00A75EB0">
        <w:trPr>
          <w:trHeight w:val="300"/>
        </w:trPr>
        <w:tc>
          <w:tcPr>
            <w:tcW w:w="5560" w:type="dxa"/>
            <w:tcBorders>
              <w:top w:val="nil"/>
              <w:left w:val="nil"/>
              <w:bottom w:val="nil"/>
              <w:right w:val="nil"/>
            </w:tcBorders>
            <w:shd w:val="clear" w:color="auto" w:fill="auto"/>
            <w:noWrap/>
            <w:vAlign w:val="bottom"/>
            <w:hideMark/>
          </w:tcPr>
          <w:p w14:paraId="34BE84F8" w14:textId="77777777" w:rsidR="00A75EB0" w:rsidRPr="003B2361" w:rsidRDefault="00313565" w:rsidP="00A75EB0">
            <w:pPr>
              <w:spacing w:after="0"/>
              <w:rPr>
                <w:rFonts w:cs="Calibri"/>
                <w:color w:val="000000"/>
                <w:szCs w:val="22"/>
              </w:rPr>
            </w:pPr>
            <w:r w:rsidRPr="003B2361">
              <w:rPr>
                <w:rFonts w:cs="Calibri"/>
                <w:color w:val="000000"/>
                <w:szCs w:val="22"/>
              </w:rPr>
              <w:t>Norsk fje</w:t>
            </w:r>
            <w:r w:rsidRPr="003B2361">
              <w:rPr>
                <w:rFonts w:cs="Calibri"/>
                <w:color w:val="000000"/>
                <w:szCs w:val="22"/>
              </w:rPr>
              <w:t>llsenter</w:t>
            </w:r>
          </w:p>
        </w:tc>
        <w:tc>
          <w:tcPr>
            <w:tcW w:w="1200" w:type="dxa"/>
            <w:tcBorders>
              <w:top w:val="nil"/>
              <w:left w:val="nil"/>
              <w:bottom w:val="nil"/>
              <w:right w:val="nil"/>
            </w:tcBorders>
            <w:shd w:val="clear" w:color="auto" w:fill="auto"/>
            <w:noWrap/>
            <w:vAlign w:val="bottom"/>
            <w:hideMark/>
          </w:tcPr>
          <w:p w14:paraId="0BFFF4F0" w14:textId="77777777" w:rsidR="00A75EB0" w:rsidRPr="003B2361" w:rsidRDefault="00313565" w:rsidP="00A75EB0">
            <w:pPr>
              <w:spacing w:after="0"/>
              <w:jc w:val="right"/>
              <w:rPr>
                <w:rFonts w:cs="Calibri"/>
                <w:color w:val="000000"/>
                <w:szCs w:val="22"/>
              </w:rPr>
            </w:pPr>
            <w:r w:rsidRPr="003B2361">
              <w:rPr>
                <w:rFonts w:cs="Calibri"/>
                <w:color w:val="000000"/>
                <w:szCs w:val="22"/>
              </w:rPr>
              <w:t>700 000</w:t>
            </w:r>
          </w:p>
        </w:tc>
      </w:tr>
      <w:tr w:rsidR="00274346" w14:paraId="3D501AEE" w14:textId="77777777" w:rsidTr="00A75EB0">
        <w:trPr>
          <w:trHeight w:val="300"/>
        </w:trPr>
        <w:tc>
          <w:tcPr>
            <w:tcW w:w="5560" w:type="dxa"/>
            <w:tcBorders>
              <w:top w:val="nil"/>
              <w:left w:val="nil"/>
              <w:bottom w:val="nil"/>
              <w:right w:val="nil"/>
            </w:tcBorders>
            <w:shd w:val="clear" w:color="auto" w:fill="auto"/>
            <w:noWrap/>
            <w:vAlign w:val="bottom"/>
            <w:hideMark/>
          </w:tcPr>
          <w:p w14:paraId="272A1EE7" w14:textId="77777777" w:rsidR="00A75EB0" w:rsidRPr="003B2361" w:rsidRDefault="00313565" w:rsidP="00A75EB0">
            <w:pPr>
              <w:spacing w:after="0"/>
              <w:rPr>
                <w:rFonts w:cs="Calibri"/>
                <w:color w:val="000000"/>
                <w:szCs w:val="22"/>
              </w:rPr>
            </w:pPr>
            <w:r w:rsidRPr="003B2361">
              <w:rPr>
                <w:rFonts w:cs="Calibri"/>
                <w:color w:val="000000"/>
                <w:szCs w:val="22"/>
              </w:rPr>
              <w:t>Prøveleige</w:t>
            </w:r>
          </w:p>
        </w:tc>
        <w:tc>
          <w:tcPr>
            <w:tcW w:w="1200" w:type="dxa"/>
            <w:tcBorders>
              <w:top w:val="nil"/>
              <w:left w:val="nil"/>
              <w:bottom w:val="nil"/>
              <w:right w:val="nil"/>
            </w:tcBorders>
            <w:shd w:val="clear" w:color="auto" w:fill="auto"/>
            <w:noWrap/>
            <w:vAlign w:val="bottom"/>
            <w:hideMark/>
          </w:tcPr>
          <w:p w14:paraId="15F0433C" w14:textId="77777777" w:rsidR="00A75EB0" w:rsidRPr="003B2361" w:rsidRDefault="00313565" w:rsidP="00A75EB0">
            <w:pPr>
              <w:spacing w:after="0"/>
              <w:jc w:val="right"/>
              <w:rPr>
                <w:rFonts w:cs="Calibri"/>
                <w:color w:val="000000"/>
                <w:szCs w:val="22"/>
              </w:rPr>
            </w:pPr>
            <w:r w:rsidRPr="003B2361">
              <w:rPr>
                <w:rFonts w:cs="Calibri"/>
                <w:color w:val="000000"/>
                <w:szCs w:val="22"/>
              </w:rPr>
              <w:t>100 000</w:t>
            </w:r>
          </w:p>
        </w:tc>
      </w:tr>
      <w:tr w:rsidR="00274346" w14:paraId="5E201774" w14:textId="77777777" w:rsidTr="00A75EB0">
        <w:trPr>
          <w:trHeight w:val="300"/>
        </w:trPr>
        <w:tc>
          <w:tcPr>
            <w:tcW w:w="5560" w:type="dxa"/>
            <w:tcBorders>
              <w:top w:val="nil"/>
              <w:left w:val="nil"/>
              <w:bottom w:val="nil"/>
              <w:right w:val="nil"/>
            </w:tcBorders>
            <w:shd w:val="clear" w:color="auto" w:fill="auto"/>
            <w:noWrap/>
            <w:vAlign w:val="bottom"/>
            <w:hideMark/>
          </w:tcPr>
          <w:p w14:paraId="4525F6E6" w14:textId="77777777" w:rsidR="00A75EB0" w:rsidRPr="003B2361" w:rsidRDefault="00313565" w:rsidP="00A75EB0">
            <w:pPr>
              <w:spacing w:after="0"/>
              <w:rPr>
                <w:rFonts w:cs="Calibri"/>
                <w:color w:val="000000"/>
                <w:szCs w:val="22"/>
              </w:rPr>
            </w:pPr>
            <w:r w:rsidRPr="003B2361">
              <w:rPr>
                <w:rFonts w:cs="Calibri"/>
                <w:color w:val="000000"/>
                <w:szCs w:val="22"/>
              </w:rPr>
              <w:t>Marknadsføring</w:t>
            </w:r>
          </w:p>
        </w:tc>
        <w:tc>
          <w:tcPr>
            <w:tcW w:w="1200" w:type="dxa"/>
            <w:tcBorders>
              <w:top w:val="nil"/>
              <w:left w:val="nil"/>
              <w:bottom w:val="nil"/>
              <w:right w:val="nil"/>
            </w:tcBorders>
            <w:shd w:val="clear" w:color="auto" w:fill="auto"/>
            <w:noWrap/>
            <w:vAlign w:val="bottom"/>
            <w:hideMark/>
          </w:tcPr>
          <w:p w14:paraId="5C7DB89C" w14:textId="77777777" w:rsidR="00A75EB0" w:rsidRPr="003B2361" w:rsidRDefault="00313565" w:rsidP="00A75EB0">
            <w:pPr>
              <w:spacing w:after="0"/>
              <w:jc w:val="right"/>
              <w:rPr>
                <w:rFonts w:cs="Calibri"/>
                <w:color w:val="000000"/>
                <w:szCs w:val="22"/>
              </w:rPr>
            </w:pPr>
            <w:r w:rsidRPr="003B2361">
              <w:rPr>
                <w:rFonts w:cs="Calibri"/>
                <w:color w:val="000000"/>
                <w:szCs w:val="22"/>
              </w:rPr>
              <w:t>100 000</w:t>
            </w:r>
          </w:p>
        </w:tc>
      </w:tr>
      <w:tr w:rsidR="00274346" w14:paraId="7AE99D8A" w14:textId="77777777" w:rsidTr="00A75EB0">
        <w:trPr>
          <w:trHeight w:val="300"/>
        </w:trPr>
        <w:tc>
          <w:tcPr>
            <w:tcW w:w="5560" w:type="dxa"/>
            <w:tcBorders>
              <w:top w:val="nil"/>
              <w:left w:val="nil"/>
              <w:bottom w:val="nil"/>
              <w:right w:val="nil"/>
            </w:tcBorders>
            <w:shd w:val="clear" w:color="auto" w:fill="auto"/>
            <w:noWrap/>
            <w:vAlign w:val="bottom"/>
            <w:hideMark/>
          </w:tcPr>
          <w:p w14:paraId="1030B4BB" w14:textId="77777777" w:rsidR="00A75EB0" w:rsidRPr="003B2361" w:rsidRDefault="00313565" w:rsidP="00A75EB0">
            <w:pPr>
              <w:spacing w:after="0"/>
              <w:rPr>
                <w:rFonts w:cs="Calibri"/>
                <w:color w:val="000000"/>
                <w:szCs w:val="22"/>
              </w:rPr>
            </w:pPr>
            <w:r w:rsidRPr="003B2361">
              <w:rPr>
                <w:rFonts w:cs="Calibri"/>
                <w:color w:val="000000"/>
                <w:szCs w:val="22"/>
              </w:rPr>
              <w:t>Bustadutvikling / GNIST</w:t>
            </w:r>
          </w:p>
        </w:tc>
        <w:tc>
          <w:tcPr>
            <w:tcW w:w="1200" w:type="dxa"/>
            <w:tcBorders>
              <w:top w:val="nil"/>
              <w:left w:val="nil"/>
              <w:bottom w:val="nil"/>
              <w:right w:val="nil"/>
            </w:tcBorders>
            <w:shd w:val="clear" w:color="auto" w:fill="auto"/>
            <w:noWrap/>
            <w:vAlign w:val="bottom"/>
            <w:hideMark/>
          </w:tcPr>
          <w:p w14:paraId="37921984" w14:textId="77777777" w:rsidR="00A75EB0" w:rsidRPr="003B2361" w:rsidRDefault="00313565" w:rsidP="00A75EB0">
            <w:pPr>
              <w:spacing w:after="0"/>
              <w:jc w:val="right"/>
              <w:rPr>
                <w:rFonts w:cs="Calibri"/>
                <w:color w:val="000000"/>
                <w:szCs w:val="22"/>
              </w:rPr>
            </w:pPr>
            <w:r w:rsidRPr="003B2361">
              <w:rPr>
                <w:rFonts w:cs="Calibri"/>
                <w:color w:val="000000"/>
                <w:szCs w:val="22"/>
              </w:rPr>
              <w:t>200 000</w:t>
            </w:r>
          </w:p>
        </w:tc>
      </w:tr>
      <w:tr w:rsidR="00274346" w14:paraId="296AB12E" w14:textId="77777777" w:rsidTr="00A75EB0">
        <w:trPr>
          <w:trHeight w:val="300"/>
        </w:trPr>
        <w:tc>
          <w:tcPr>
            <w:tcW w:w="5560" w:type="dxa"/>
            <w:tcBorders>
              <w:top w:val="nil"/>
              <w:left w:val="nil"/>
              <w:bottom w:val="nil"/>
              <w:right w:val="nil"/>
            </w:tcBorders>
            <w:shd w:val="clear" w:color="auto" w:fill="auto"/>
            <w:noWrap/>
            <w:vAlign w:val="bottom"/>
            <w:hideMark/>
          </w:tcPr>
          <w:p w14:paraId="6F4DA700" w14:textId="77777777" w:rsidR="00A75EB0" w:rsidRPr="00597E44" w:rsidRDefault="00313565" w:rsidP="00A75EB0">
            <w:pPr>
              <w:spacing w:after="0"/>
              <w:rPr>
                <w:rFonts w:cs="Calibri"/>
                <w:color w:val="000000"/>
                <w:szCs w:val="22"/>
                <w:lang w:val="nb-NO"/>
              </w:rPr>
            </w:pPr>
            <w:r w:rsidRPr="00597E44">
              <w:rPr>
                <w:rFonts w:cs="Calibri"/>
                <w:color w:val="000000"/>
                <w:szCs w:val="22"/>
                <w:lang w:val="nb-NO"/>
              </w:rPr>
              <w:t xml:space="preserve">Ekstern bistand til knoppskyting i </w:t>
            </w:r>
            <w:r w:rsidR="003B2361" w:rsidRPr="00597E44">
              <w:rPr>
                <w:rFonts w:cs="Calibri"/>
                <w:color w:val="000000"/>
                <w:szCs w:val="22"/>
                <w:lang w:val="nb-NO"/>
              </w:rPr>
              <w:t>eksisterande</w:t>
            </w:r>
            <w:r w:rsidRPr="00597E44">
              <w:rPr>
                <w:rFonts w:cs="Calibri"/>
                <w:color w:val="000000"/>
                <w:szCs w:val="22"/>
                <w:lang w:val="nb-NO"/>
              </w:rPr>
              <w:t xml:space="preserve"> bedrifter</w:t>
            </w:r>
          </w:p>
        </w:tc>
        <w:tc>
          <w:tcPr>
            <w:tcW w:w="1200" w:type="dxa"/>
            <w:tcBorders>
              <w:top w:val="nil"/>
              <w:left w:val="nil"/>
              <w:bottom w:val="nil"/>
              <w:right w:val="nil"/>
            </w:tcBorders>
            <w:shd w:val="clear" w:color="auto" w:fill="auto"/>
            <w:noWrap/>
            <w:vAlign w:val="bottom"/>
            <w:hideMark/>
          </w:tcPr>
          <w:p w14:paraId="110C8C2F" w14:textId="77777777" w:rsidR="00A75EB0" w:rsidRPr="003B2361" w:rsidRDefault="00313565" w:rsidP="00A75EB0">
            <w:pPr>
              <w:spacing w:after="0"/>
              <w:jc w:val="right"/>
              <w:rPr>
                <w:rFonts w:cs="Calibri"/>
                <w:color w:val="000000"/>
                <w:szCs w:val="22"/>
              </w:rPr>
            </w:pPr>
            <w:r>
              <w:rPr>
                <w:rFonts w:cs="Calibri"/>
                <w:color w:val="000000"/>
                <w:szCs w:val="22"/>
              </w:rPr>
              <w:t>25</w:t>
            </w:r>
            <w:r w:rsidRPr="003B2361">
              <w:rPr>
                <w:rFonts w:cs="Calibri"/>
                <w:color w:val="000000"/>
                <w:szCs w:val="22"/>
              </w:rPr>
              <w:t>0 000</w:t>
            </w:r>
          </w:p>
        </w:tc>
      </w:tr>
      <w:tr w:rsidR="00274346" w14:paraId="503E05AA" w14:textId="77777777" w:rsidTr="00A75EB0">
        <w:trPr>
          <w:trHeight w:val="300"/>
        </w:trPr>
        <w:tc>
          <w:tcPr>
            <w:tcW w:w="5560" w:type="dxa"/>
            <w:tcBorders>
              <w:top w:val="nil"/>
              <w:left w:val="nil"/>
              <w:bottom w:val="nil"/>
              <w:right w:val="nil"/>
            </w:tcBorders>
            <w:shd w:val="clear" w:color="auto" w:fill="auto"/>
            <w:noWrap/>
            <w:vAlign w:val="bottom"/>
            <w:hideMark/>
          </w:tcPr>
          <w:p w14:paraId="7D1BFDD6" w14:textId="77777777" w:rsidR="00A75EB0" w:rsidRPr="003B2361" w:rsidRDefault="00313565" w:rsidP="00A75EB0">
            <w:pPr>
              <w:spacing w:after="0"/>
              <w:rPr>
                <w:rFonts w:cs="Calibri"/>
                <w:color w:val="000000"/>
                <w:szCs w:val="22"/>
              </w:rPr>
            </w:pPr>
            <w:r w:rsidRPr="003B2361">
              <w:rPr>
                <w:rFonts w:cs="Calibri"/>
                <w:color w:val="000000"/>
                <w:szCs w:val="22"/>
              </w:rPr>
              <w:t>Auka stillingsressurs på næring og tilflytting, år 1</w:t>
            </w:r>
          </w:p>
        </w:tc>
        <w:tc>
          <w:tcPr>
            <w:tcW w:w="1200" w:type="dxa"/>
            <w:tcBorders>
              <w:top w:val="nil"/>
              <w:left w:val="nil"/>
              <w:bottom w:val="nil"/>
              <w:right w:val="nil"/>
            </w:tcBorders>
            <w:shd w:val="clear" w:color="auto" w:fill="auto"/>
            <w:noWrap/>
            <w:vAlign w:val="bottom"/>
            <w:hideMark/>
          </w:tcPr>
          <w:p w14:paraId="35E5E990" w14:textId="77777777" w:rsidR="00A75EB0" w:rsidRPr="003B2361" w:rsidRDefault="00313565" w:rsidP="00A75EB0">
            <w:pPr>
              <w:spacing w:after="0"/>
              <w:jc w:val="right"/>
              <w:rPr>
                <w:rFonts w:cs="Calibri"/>
                <w:color w:val="000000"/>
                <w:szCs w:val="22"/>
              </w:rPr>
            </w:pPr>
            <w:r w:rsidRPr="003B2361">
              <w:rPr>
                <w:rFonts w:cs="Calibri"/>
                <w:color w:val="000000"/>
                <w:szCs w:val="22"/>
              </w:rPr>
              <w:t>6</w:t>
            </w:r>
            <w:r w:rsidR="00597E44">
              <w:rPr>
                <w:rFonts w:cs="Calibri"/>
                <w:color w:val="000000"/>
                <w:szCs w:val="22"/>
              </w:rPr>
              <w:t>5</w:t>
            </w:r>
            <w:r w:rsidRPr="003B2361">
              <w:rPr>
                <w:rFonts w:cs="Calibri"/>
                <w:color w:val="000000"/>
                <w:szCs w:val="22"/>
              </w:rPr>
              <w:t>0 000</w:t>
            </w:r>
          </w:p>
        </w:tc>
      </w:tr>
      <w:tr w:rsidR="00274346" w14:paraId="31D6AEF1" w14:textId="77777777" w:rsidTr="00A75EB0">
        <w:trPr>
          <w:trHeight w:val="300"/>
        </w:trPr>
        <w:tc>
          <w:tcPr>
            <w:tcW w:w="5560" w:type="dxa"/>
            <w:tcBorders>
              <w:top w:val="nil"/>
              <w:left w:val="nil"/>
              <w:bottom w:val="nil"/>
              <w:right w:val="nil"/>
            </w:tcBorders>
            <w:shd w:val="clear" w:color="auto" w:fill="auto"/>
            <w:noWrap/>
            <w:vAlign w:val="bottom"/>
            <w:hideMark/>
          </w:tcPr>
          <w:p w14:paraId="766C281E" w14:textId="77777777" w:rsidR="00A75EB0" w:rsidRPr="003B2361" w:rsidRDefault="00313565" w:rsidP="00240088">
            <w:pPr>
              <w:spacing w:after="0"/>
              <w:rPr>
                <w:rFonts w:cs="Calibri"/>
                <w:color w:val="000000"/>
                <w:szCs w:val="22"/>
              </w:rPr>
            </w:pPr>
            <w:r w:rsidRPr="003B2361">
              <w:rPr>
                <w:rFonts w:cs="Calibri"/>
                <w:color w:val="000000"/>
                <w:szCs w:val="22"/>
              </w:rPr>
              <w:t>= Totalt</w:t>
            </w:r>
          </w:p>
        </w:tc>
        <w:tc>
          <w:tcPr>
            <w:tcW w:w="1200" w:type="dxa"/>
            <w:tcBorders>
              <w:top w:val="nil"/>
              <w:left w:val="nil"/>
              <w:bottom w:val="nil"/>
              <w:right w:val="nil"/>
            </w:tcBorders>
            <w:shd w:val="clear" w:color="auto" w:fill="auto"/>
            <w:noWrap/>
            <w:vAlign w:val="bottom"/>
            <w:hideMark/>
          </w:tcPr>
          <w:p w14:paraId="2E4BED2D" w14:textId="77777777" w:rsidR="00A75EB0" w:rsidRPr="003B2361" w:rsidRDefault="00313565" w:rsidP="00A75EB0">
            <w:pPr>
              <w:spacing w:after="0"/>
              <w:jc w:val="right"/>
              <w:rPr>
                <w:rFonts w:cs="Calibri"/>
                <w:b/>
                <w:bCs/>
                <w:color w:val="000000"/>
                <w:szCs w:val="22"/>
              </w:rPr>
            </w:pPr>
            <w:r w:rsidRPr="003B2361">
              <w:rPr>
                <w:rFonts w:cs="Calibri"/>
                <w:b/>
                <w:bCs/>
                <w:color w:val="000000"/>
                <w:szCs w:val="22"/>
              </w:rPr>
              <w:t>2 000 000</w:t>
            </w:r>
          </w:p>
        </w:tc>
      </w:tr>
    </w:tbl>
    <w:p w14:paraId="140213FE" w14:textId="77777777" w:rsidR="00777279" w:rsidRPr="003B2361" w:rsidRDefault="00777279" w:rsidP="00DE25E4">
      <w:pPr>
        <w:rPr>
          <w:rFonts w:eastAsiaTheme="minorHAnsi" w:cstheme="minorBidi"/>
          <w:szCs w:val="22"/>
          <w:lang w:eastAsia="en-US"/>
        </w:rPr>
      </w:pPr>
    </w:p>
    <w:p w14:paraId="2EC5B2D8" w14:textId="77777777" w:rsidR="00D418A8" w:rsidRPr="003B2361" w:rsidRDefault="00313565" w:rsidP="00DE25E4">
      <w:pPr>
        <w:rPr>
          <w:rFonts w:eastAsiaTheme="minorHAnsi" w:cstheme="minorBidi"/>
          <w:szCs w:val="22"/>
          <w:lang w:eastAsia="en-US"/>
        </w:rPr>
      </w:pPr>
      <w:r w:rsidRPr="003B2361">
        <w:rPr>
          <w:rFonts w:eastAsiaTheme="minorHAnsi" w:cstheme="minorBidi"/>
          <w:szCs w:val="22"/>
          <w:lang w:eastAsia="en-US"/>
        </w:rPr>
        <w:t xml:space="preserve">Etter innspel frå m.a. samfunnsutvalet er det også </w:t>
      </w:r>
      <w:r w:rsidR="00E962A2" w:rsidRPr="003B2361">
        <w:rPr>
          <w:rFonts w:eastAsiaTheme="minorHAnsi" w:cstheme="minorBidi"/>
          <w:szCs w:val="22"/>
          <w:lang w:eastAsia="en-US"/>
        </w:rPr>
        <w:t>ført på ekstra kolonnar</w:t>
      </w:r>
      <w:r w:rsidRPr="003B2361">
        <w:rPr>
          <w:rFonts w:eastAsiaTheme="minorHAnsi" w:cstheme="minorBidi"/>
          <w:szCs w:val="22"/>
          <w:lang w:eastAsia="en-US"/>
        </w:rPr>
        <w:t xml:space="preserve"> i gjennomføringsplanen for 2022. Denne </w:t>
      </w:r>
      <w:r w:rsidR="00A75EB0" w:rsidRPr="003B2361">
        <w:rPr>
          <w:rFonts w:eastAsiaTheme="minorHAnsi" w:cstheme="minorBidi"/>
          <w:szCs w:val="22"/>
          <w:lang w:eastAsia="en-US"/>
        </w:rPr>
        <w:t>synleggjer</w:t>
      </w:r>
      <w:r w:rsidR="00E962A2" w:rsidRPr="003B2361">
        <w:rPr>
          <w:rFonts w:eastAsiaTheme="minorHAnsi" w:cstheme="minorBidi"/>
          <w:szCs w:val="22"/>
          <w:lang w:eastAsia="en-US"/>
        </w:rPr>
        <w:t xml:space="preserve"> </w:t>
      </w:r>
      <w:r w:rsidR="00A75EB0" w:rsidRPr="003B2361">
        <w:rPr>
          <w:rFonts w:eastAsiaTheme="minorHAnsi" w:cstheme="minorBidi"/>
          <w:szCs w:val="22"/>
          <w:lang w:eastAsia="en-US"/>
        </w:rPr>
        <w:t>kven som er</w:t>
      </w:r>
      <w:r w:rsidR="00E962A2" w:rsidRPr="003B2361">
        <w:rPr>
          <w:rFonts w:eastAsiaTheme="minorHAnsi" w:cstheme="minorBidi"/>
          <w:szCs w:val="22"/>
          <w:lang w:eastAsia="en-US"/>
        </w:rPr>
        <w:t xml:space="preserve"> ansvarleg for arbeidet administrativt, aktuelle </w:t>
      </w:r>
      <w:r w:rsidR="00A75EB0" w:rsidRPr="003B2361">
        <w:rPr>
          <w:rFonts w:eastAsiaTheme="minorHAnsi" w:cstheme="minorBidi"/>
          <w:szCs w:val="22"/>
          <w:lang w:eastAsia="en-US"/>
        </w:rPr>
        <w:t>s</w:t>
      </w:r>
      <w:r w:rsidR="00E962A2" w:rsidRPr="003B2361">
        <w:rPr>
          <w:rFonts w:eastAsiaTheme="minorHAnsi" w:cstheme="minorBidi"/>
          <w:szCs w:val="22"/>
          <w:lang w:eastAsia="en-US"/>
        </w:rPr>
        <w:t xml:space="preserve">amarbeidspartnarar, kostnadsestimat og korleis tiltaka er tenkt finansiert. </w:t>
      </w:r>
      <w:r w:rsidR="00E962A2" w:rsidRPr="003B2361">
        <w:rPr>
          <w:rFonts w:eastAsiaTheme="minorHAnsi" w:cstheme="minorBidi"/>
          <w:szCs w:val="22"/>
          <w:lang w:eastAsia="en-US"/>
        </w:rPr>
        <w:br/>
      </w:r>
      <w:r w:rsidR="006846BD" w:rsidRPr="003B2361">
        <w:fldChar w:fldCharType="begin"/>
      </w:r>
      <w:r w:rsidR="006846BD" w:rsidRPr="003B2361">
        <w:instrText xml:space="preserve">  </w:instrText>
      </w:r>
      <w:r w:rsidR="006846BD" w:rsidRPr="003B2361">
        <w:fldChar w:fldCharType="end"/>
      </w:r>
    </w:p>
    <w:sectPr w:rsidR="00D418A8" w:rsidRPr="003B2361" w:rsidSect="00EA188C">
      <w:headerReference w:type="first" r:id="rId11"/>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AC8B" w14:textId="77777777" w:rsidR="00000000" w:rsidRDefault="00313565">
      <w:pPr>
        <w:spacing w:after="0"/>
      </w:pPr>
      <w:r>
        <w:separator/>
      </w:r>
    </w:p>
  </w:endnote>
  <w:endnote w:type="continuationSeparator" w:id="0">
    <w:p w14:paraId="01163A39" w14:textId="77777777" w:rsidR="00000000" w:rsidRDefault="00313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CB74" w14:textId="77777777" w:rsidR="00000000" w:rsidRDefault="00313565">
      <w:pPr>
        <w:spacing w:after="0"/>
      </w:pPr>
      <w:r>
        <w:separator/>
      </w:r>
    </w:p>
  </w:footnote>
  <w:footnote w:type="continuationSeparator" w:id="0">
    <w:p w14:paraId="4DE16753" w14:textId="77777777" w:rsidR="00000000" w:rsidRDefault="003135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97CC" w14:textId="77777777" w:rsidR="002D10E8" w:rsidRDefault="00313565" w:rsidP="00A15CB7">
    <w:pPr>
      <w:pStyle w:val="Topptekst"/>
    </w:pPr>
    <w:r>
      <w:rPr>
        <w:rFonts w:ascii="Times New Roman" w:hAnsi="Times New Roman"/>
        <w:b/>
        <w:noProof/>
        <w:sz w:val="28"/>
        <w:szCs w:val="28"/>
        <w:lang w:val="nb-NO"/>
      </w:rPr>
      <w:drawing>
        <wp:inline distT="0" distB="0" distL="0" distR="0" wp14:anchorId="681A411E" wp14:editId="5240FA62">
          <wp:extent cx="1313180" cy="476885"/>
          <wp:effectExtent l="0" t="0" r="1270" b="0"/>
          <wp:docPr id="1" name="Bilete 1" descr="logo_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l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18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E73C4"/>
    <w:multiLevelType w:val="hybridMultilevel"/>
    <w:tmpl w:val="28DA76DC"/>
    <w:lvl w:ilvl="0" w:tplc="D760211E">
      <w:start w:val="1"/>
      <w:numFmt w:val="decimal"/>
      <w:lvlText w:val="%1."/>
      <w:lvlJc w:val="left"/>
      <w:pPr>
        <w:ind w:left="1080" w:hanging="360"/>
      </w:pPr>
      <w:rPr>
        <w:rFonts w:hint="default"/>
      </w:rPr>
    </w:lvl>
    <w:lvl w:ilvl="1" w:tplc="EEB6460E" w:tentative="1">
      <w:start w:val="1"/>
      <w:numFmt w:val="lowerLetter"/>
      <w:lvlText w:val="%2."/>
      <w:lvlJc w:val="left"/>
      <w:pPr>
        <w:ind w:left="1800" w:hanging="360"/>
      </w:pPr>
    </w:lvl>
    <w:lvl w:ilvl="2" w:tplc="E4DEAA0A" w:tentative="1">
      <w:start w:val="1"/>
      <w:numFmt w:val="lowerRoman"/>
      <w:lvlText w:val="%3."/>
      <w:lvlJc w:val="right"/>
      <w:pPr>
        <w:ind w:left="2520" w:hanging="180"/>
      </w:pPr>
    </w:lvl>
    <w:lvl w:ilvl="3" w:tplc="D604CFB2" w:tentative="1">
      <w:start w:val="1"/>
      <w:numFmt w:val="decimal"/>
      <w:lvlText w:val="%4."/>
      <w:lvlJc w:val="left"/>
      <w:pPr>
        <w:ind w:left="3240" w:hanging="360"/>
      </w:pPr>
    </w:lvl>
    <w:lvl w:ilvl="4" w:tplc="7A86F87C" w:tentative="1">
      <w:start w:val="1"/>
      <w:numFmt w:val="lowerLetter"/>
      <w:lvlText w:val="%5."/>
      <w:lvlJc w:val="left"/>
      <w:pPr>
        <w:ind w:left="3960" w:hanging="360"/>
      </w:pPr>
    </w:lvl>
    <w:lvl w:ilvl="5" w:tplc="4DA6647C" w:tentative="1">
      <w:start w:val="1"/>
      <w:numFmt w:val="lowerRoman"/>
      <w:lvlText w:val="%6."/>
      <w:lvlJc w:val="right"/>
      <w:pPr>
        <w:ind w:left="4680" w:hanging="180"/>
      </w:pPr>
    </w:lvl>
    <w:lvl w:ilvl="6" w:tplc="5366D410" w:tentative="1">
      <w:start w:val="1"/>
      <w:numFmt w:val="decimal"/>
      <w:lvlText w:val="%7."/>
      <w:lvlJc w:val="left"/>
      <w:pPr>
        <w:ind w:left="5400" w:hanging="360"/>
      </w:pPr>
    </w:lvl>
    <w:lvl w:ilvl="7" w:tplc="EC82B58A" w:tentative="1">
      <w:start w:val="1"/>
      <w:numFmt w:val="lowerLetter"/>
      <w:lvlText w:val="%8."/>
      <w:lvlJc w:val="left"/>
      <w:pPr>
        <w:ind w:left="6120" w:hanging="360"/>
      </w:pPr>
    </w:lvl>
    <w:lvl w:ilvl="8" w:tplc="EE84DAD6" w:tentative="1">
      <w:start w:val="1"/>
      <w:numFmt w:val="lowerRoman"/>
      <w:lvlText w:val="%9."/>
      <w:lvlJc w:val="right"/>
      <w:pPr>
        <w:ind w:left="6840" w:hanging="180"/>
      </w:pPr>
    </w:lvl>
  </w:abstractNum>
  <w:abstractNum w:abstractNumId="9" w15:restartNumberingAfterBreak="0">
    <w:nsid w:val="2CF277FC"/>
    <w:multiLevelType w:val="hybridMultilevel"/>
    <w:tmpl w:val="AA2E2AD4"/>
    <w:lvl w:ilvl="0" w:tplc="6A42F54C">
      <w:start w:val="1"/>
      <w:numFmt w:val="bullet"/>
      <w:lvlText w:val=""/>
      <w:lvlJc w:val="left"/>
      <w:pPr>
        <w:ind w:left="1004" w:hanging="360"/>
      </w:pPr>
      <w:rPr>
        <w:rFonts w:ascii="Wingdings" w:hAnsi="Wingdings" w:hint="default"/>
      </w:rPr>
    </w:lvl>
    <w:lvl w:ilvl="1" w:tplc="272AFFB8" w:tentative="1">
      <w:start w:val="1"/>
      <w:numFmt w:val="bullet"/>
      <w:lvlText w:val="o"/>
      <w:lvlJc w:val="left"/>
      <w:pPr>
        <w:ind w:left="1724" w:hanging="360"/>
      </w:pPr>
      <w:rPr>
        <w:rFonts w:ascii="Courier New" w:hAnsi="Courier New" w:cs="Courier New" w:hint="default"/>
      </w:rPr>
    </w:lvl>
    <w:lvl w:ilvl="2" w:tplc="FF2E51EC" w:tentative="1">
      <w:start w:val="1"/>
      <w:numFmt w:val="bullet"/>
      <w:lvlText w:val=""/>
      <w:lvlJc w:val="left"/>
      <w:pPr>
        <w:ind w:left="2444" w:hanging="360"/>
      </w:pPr>
      <w:rPr>
        <w:rFonts w:ascii="Wingdings" w:hAnsi="Wingdings" w:hint="default"/>
      </w:rPr>
    </w:lvl>
    <w:lvl w:ilvl="3" w:tplc="3E209FE8" w:tentative="1">
      <w:start w:val="1"/>
      <w:numFmt w:val="bullet"/>
      <w:lvlText w:val=""/>
      <w:lvlJc w:val="left"/>
      <w:pPr>
        <w:ind w:left="3164" w:hanging="360"/>
      </w:pPr>
      <w:rPr>
        <w:rFonts w:ascii="Symbol" w:hAnsi="Symbol" w:hint="default"/>
      </w:rPr>
    </w:lvl>
    <w:lvl w:ilvl="4" w:tplc="EE246C1E" w:tentative="1">
      <w:start w:val="1"/>
      <w:numFmt w:val="bullet"/>
      <w:lvlText w:val="o"/>
      <w:lvlJc w:val="left"/>
      <w:pPr>
        <w:ind w:left="3884" w:hanging="360"/>
      </w:pPr>
      <w:rPr>
        <w:rFonts w:ascii="Courier New" w:hAnsi="Courier New" w:cs="Courier New" w:hint="default"/>
      </w:rPr>
    </w:lvl>
    <w:lvl w:ilvl="5" w:tplc="5AE46132" w:tentative="1">
      <w:start w:val="1"/>
      <w:numFmt w:val="bullet"/>
      <w:lvlText w:val=""/>
      <w:lvlJc w:val="left"/>
      <w:pPr>
        <w:ind w:left="4604" w:hanging="360"/>
      </w:pPr>
      <w:rPr>
        <w:rFonts w:ascii="Wingdings" w:hAnsi="Wingdings" w:hint="default"/>
      </w:rPr>
    </w:lvl>
    <w:lvl w:ilvl="6" w:tplc="4E382072" w:tentative="1">
      <w:start w:val="1"/>
      <w:numFmt w:val="bullet"/>
      <w:lvlText w:val=""/>
      <w:lvlJc w:val="left"/>
      <w:pPr>
        <w:ind w:left="5324" w:hanging="360"/>
      </w:pPr>
      <w:rPr>
        <w:rFonts w:ascii="Symbol" w:hAnsi="Symbol" w:hint="default"/>
      </w:rPr>
    </w:lvl>
    <w:lvl w:ilvl="7" w:tplc="2FDA15B2" w:tentative="1">
      <w:start w:val="1"/>
      <w:numFmt w:val="bullet"/>
      <w:lvlText w:val="o"/>
      <w:lvlJc w:val="left"/>
      <w:pPr>
        <w:ind w:left="6044" w:hanging="360"/>
      </w:pPr>
      <w:rPr>
        <w:rFonts w:ascii="Courier New" w:hAnsi="Courier New" w:cs="Courier New" w:hint="default"/>
      </w:rPr>
    </w:lvl>
    <w:lvl w:ilvl="8" w:tplc="B04AB834" w:tentative="1">
      <w:start w:val="1"/>
      <w:numFmt w:val="bullet"/>
      <w:lvlText w:val=""/>
      <w:lvlJc w:val="left"/>
      <w:pPr>
        <w:ind w:left="6764" w:hanging="360"/>
      </w:pPr>
      <w:rPr>
        <w:rFonts w:ascii="Wingdings" w:hAnsi="Wingdings" w:hint="default"/>
      </w:rPr>
    </w:lvl>
  </w:abstractNum>
  <w:abstractNum w:abstractNumId="10"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63001"/>
    <w:multiLevelType w:val="hybridMultilevel"/>
    <w:tmpl w:val="6666D306"/>
    <w:lvl w:ilvl="0" w:tplc="1DFE1DF6">
      <w:start w:val="1"/>
      <w:numFmt w:val="bullet"/>
      <w:lvlText w:val=""/>
      <w:lvlJc w:val="left"/>
      <w:pPr>
        <w:tabs>
          <w:tab w:val="num" w:pos="1080"/>
        </w:tabs>
        <w:ind w:left="1080" w:hanging="360"/>
      </w:pPr>
      <w:rPr>
        <w:rFonts w:ascii="Symbol" w:hAnsi="Symbol" w:hint="default"/>
      </w:rPr>
    </w:lvl>
    <w:lvl w:ilvl="1" w:tplc="D9564154">
      <w:start w:val="1"/>
      <w:numFmt w:val="decimal"/>
      <w:lvlText w:val="%2."/>
      <w:lvlJc w:val="left"/>
      <w:pPr>
        <w:tabs>
          <w:tab w:val="num" w:pos="1440"/>
        </w:tabs>
        <w:ind w:left="1440" w:hanging="360"/>
      </w:pPr>
      <w:rPr>
        <w:rFonts w:hint="default"/>
      </w:rPr>
    </w:lvl>
    <w:lvl w:ilvl="2" w:tplc="7E10AF0E" w:tentative="1">
      <w:start w:val="1"/>
      <w:numFmt w:val="bullet"/>
      <w:lvlText w:val=""/>
      <w:lvlJc w:val="left"/>
      <w:pPr>
        <w:tabs>
          <w:tab w:val="num" w:pos="2160"/>
        </w:tabs>
        <w:ind w:left="2160" w:hanging="360"/>
      </w:pPr>
      <w:rPr>
        <w:rFonts w:ascii="Wingdings" w:hAnsi="Wingdings" w:hint="default"/>
      </w:rPr>
    </w:lvl>
    <w:lvl w:ilvl="3" w:tplc="514074C8" w:tentative="1">
      <w:start w:val="1"/>
      <w:numFmt w:val="bullet"/>
      <w:lvlText w:val=""/>
      <w:lvlJc w:val="left"/>
      <w:pPr>
        <w:tabs>
          <w:tab w:val="num" w:pos="2880"/>
        </w:tabs>
        <w:ind w:left="2880" w:hanging="360"/>
      </w:pPr>
      <w:rPr>
        <w:rFonts w:ascii="Symbol" w:hAnsi="Symbol" w:hint="default"/>
      </w:rPr>
    </w:lvl>
    <w:lvl w:ilvl="4" w:tplc="900CBD1A" w:tentative="1">
      <w:start w:val="1"/>
      <w:numFmt w:val="bullet"/>
      <w:lvlText w:val="o"/>
      <w:lvlJc w:val="left"/>
      <w:pPr>
        <w:tabs>
          <w:tab w:val="num" w:pos="3600"/>
        </w:tabs>
        <w:ind w:left="3600" w:hanging="360"/>
      </w:pPr>
      <w:rPr>
        <w:rFonts w:ascii="Courier New" w:hAnsi="Courier New" w:cs="Courier New" w:hint="default"/>
      </w:rPr>
    </w:lvl>
    <w:lvl w:ilvl="5" w:tplc="007002F8" w:tentative="1">
      <w:start w:val="1"/>
      <w:numFmt w:val="bullet"/>
      <w:lvlText w:val=""/>
      <w:lvlJc w:val="left"/>
      <w:pPr>
        <w:tabs>
          <w:tab w:val="num" w:pos="4320"/>
        </w:tabs>
        <w:ind w:left="4320" w:hanging="360"/>
      </w:pPr>
      <w:rPr>
        <w:rFonts w:ascii="Wingdings" w:hAnsi="Wingdings" w:hint="default"/>
      </w:rPr>
    </w:lvl>
    <w:lvl w:ilvl="6" w:tplc="56B27E4E" w:tentative="1">
      <w:start w:val="1"/>
      <w:numFmt w:val="bullet"/>
      <w:lvlText w:val=""/>
      <w:lvlJc w:val="left"/>
      <w:pPr>
        <w:tabs>
          <w:tab w:val="num" w:pos="5040"/>
        </w:tabs>
        <w:ind w:left="5040" w:hanging="360"/>
      </w:pPr>
      <w:rPr>
        <w:rFonts w:ascii="Symbol" w:hAnsi="Symbol" w:hint="default"/>
      </w:rPr>
    </w:lvl>
    <w:lvl w:ilvl="7" w:tplc="F5DA4236" w:tentative="1">
      <w:start w:val="1"/>
      <w:numFmt w:val="bullet"/>
      <w:lvlText w:val="o"/>
      <w:lvlJc w:val="left"/>
      <w:pPr>
        <w:tabs>
          <w:tab w:val="num" w:pos="5760"/>
        </w:tabs>
        <w:ind w:left="5760" w:hanging="360"/>
      </w:pPr>
      <w:rPr>
        <w:rFonts w:ascii="Courier New" w:hAnsi="Courier New" w:cs="Courier New" w:hint="default"/>
      </w:rPr>
    </w:lvl>
    <w:lvl w:ilvl="8" w:tplc="702A5A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D5432"/>
    <w:multiLevelType w:val="hybridMultilevel"/>
    <w:tmpl w:val="82BCC9FE"/>
    <w:lvl w:ilvl="0" w:tplc="EE60761C">
      <w:start w:val="1"/>
      <w:numFmt w:val="bullet"/>
      <w:lvlText w:val=""/>
      <w:lvlJc w:val="left"/>
      <w:pPr>
        <w:tabs>
          <w:tab w:val="num" w:pos="1080"/>
        </w:tabs>
        <w:ind w:left="1080" w:hanging="360"/>
      </w:pPr>
      <w:rPr>
        <w:rFonts w:ascii="Symbol" w:hAnsi="Symbol" w:hint="default"/>
      </w:rPr>
    </w:lvl>
    <w:lvl w:ilvl="1" w:tplc="8DDE14B2">
      <w:start w:val="1"/>
      <w:numFmt w:val="decimal"/>
      <w:lvlText w:val="%2."/>
      <w:lvlJc w:val="left"/>
      <w:pPr>
        <w:tabs>
          <w:tab w:val="num" w:pos="1440"/>
        </w:tabs>
        <w:ind w:left="1440" w:hanging="360"/>
      </w:pPr>
      <w:rPr>
        <w:rFonts w:hint="default"/>
      </w:rPr>
    </w:lvl>
    <w:lvl w:ilvl="2" w:tplc="464AED0E" w:tentative="1">
      <w:start w:val="1"/>
      <w:numFmt w:val="bullet"/>
      <w:lvlText w:val=""/>
      <w:lvlJc w:val="left"/>
      <w:pPr>
        <w:tabs>
          <w:tab w:val="num" w:pos="2160"/>
        </w:tabs>
        <w:ind w:left="2160" w:hanging="360"/>
      </w:pPr>
      <w:rPr>
        <w:rFonts w:ascii="Wingdings" w:hAnsi="Wingdings" w:hint="default"/>
      </w:rPr>
    </w:lvl>
    <w:lvl w:ilvl="3" w:tplc="F5BE41D8" w:tentative="1">
      <w:start w:val="1"/>
      <w:numFmt w:val="bullet"/>
      <w:lvlText w:val=""/>
      <w:lvlJc w:val="left"/>
      <w:pPr>
        <w:tabs>
          <w:tab w:val="num" w:pos="2880"/>
        </w:tabs>
        <w:ind w:left="2880" w:hanging="360"/>
      </w:pPr>
      <w:rPr>
        <w:rFonts w:ascii="Symbol" w:hAnsi="Symbol" w:hint="default"/>
      </w:rPr>
    </w:lvl>
    <w:lvl w:ilvl="4" w:tplc="59EC0AA6" w:tentative="1">
      <w:start w:val="1"/>
      <w:numFmt w:val="bullet"/>
      <w:lvlText w:val="o"/>
      <w:lvlJc w:val="left"/>
      <w:pPr>
        <w:tabs>
          <w:tab w:val="num" w:pos="3600"/>
        </w:tabs>
        <w:ind w:left="3600" w:hanging="360"/>
      </w:pPr>
      <w:rPr>
        <w:rFonts w:ascii="Courier New" w:hAnsi="Courier New" w:cs="Courier New" w:hint="default"/>
      </w:rPr>
    </w:lvl>
    <w:lvl w:ilvl="5" w:tplc="E56292D8" w:tentative="1">
      <w:start w:val="1"/>
      <w:numFmt w:val="bullet"/>
      <w:lvlText w:val=""/>
      <w:lvlJc w:val="left"/>
      <w:pPr>
        <w:tabs>
          <w:tab w:val="num" w:pos="4320"/>
        </w:tabs>
        <w:ind w:left="4320" w:hanging="360"/>
      </w:pPr>
      <w:rPr>
        <w:rFonts w:ascii="Wingdings" w:hAnsi="Wingdings" w:hint="default"/>
      </w:rPr>
    </w:lvl>
    <w:lvl w:ilvl="6" w:tplc="12CEDCE0" w:tentative="1">
      <w:start w:val="1"/>
      <w:numFmt w:val="bullet"/>
      <w:lvlText w:val=""/>
      <w:lvlJc w:val="left"/>
      <w:pPr>
        <w:tabs>
          <w:tab w:val="num" w:pos="5040"/>
        </w:tabs>
        <w:ind w:left="5040" w:hanging="360"/>
      </w:pPr>
      <w:rPr>
        <w:rFonts w:ascii="Symbol" w:hAnsi="Symbol" w:hint="default"/>
      </w:rPr>
    </w:lvl>
    <w:lvl w:ilvl="7" w:tplc="42422DC8" w:tentative="1">
      <w:start w:val="1"/>
      <w:numFmt w:val="bullet"/>
      <w:lvlText w:val="o"/>
      <w:lvlJc w:val="left"/>
      <w:pPr>
        <w:tabs>
          <w:tab w:val="num" w:pos="5760"/>
        </w:tabs>
        <w:ind w:left="5760" w:hanging="360"/>
      </w:pPr>
      <w:rPr>
        <w:rFonts w:ascii="Courier New" w:hAnsi="Courier New" w:cs="Courier New" w:hint="default"/>
      </w:rPr>
    </w:lvl>
    <w:lvl w:ilvl="8" w:tplc="ADB0E0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16206"/>
    <w:multiLevelType w:val="hybridMultilevel"/>
    <w:tmpl w:val="902E9F72"/>
    <w:lvl w:ilvl="0" w:tplc="3074389A">
      <w:start w:val="1"/>
      <w:numFmt w:val="bullet"/>
      <w:pStyle w:val="Sakstittel2"/>
      <w:lvlText w:val=""/>
      <w:lvlJc w:val="left"/>
      <w:pPr>
        <w:ind w:left="720" w:hanging="360"/>
      </w:pPr>
      <w:rPr>
        <w:rFonts w:ascii="Symbol" w:hAnsi="Symbol" w:hint="default"/>
      </w:rPr>
    </w:lvl>
    <w:lvl w:ilvl="1" w:tplc="D3E8E110" w:tentative="1">
      <w:start w:val="1"/>
      <w:numFmt w:val="bullet"/>
      <w:lvlText w:val="o"/>
      <w:lvlJc w:val="left"/>
      <w:pPr>
        <w:ind w:left="1440" w:hanging="360"/>
      </w:pPr>
      <w:rPr>
        <w:rFonts w:ascii="Courier New" w:hAnsi="Courier New" w:cs="Courier New" w:hint="default"/>
      </w:rPr>
    </w:lvl>
    <w:lvl w:ilvl="2" w:tplc="DF681B90" w:tentative="1">
      <w:start w:val="1"/>
      <w:numFmt w:val="bullet"/>
      <w:lvlText w:val=""/>
      <w:lvlJc w:val="left"/>
      <w:pPr>
        <w:ind w:left="2160" w:hanging="360"/>
      </w:pPr>
      <w:rPr>
        <w:rFonts w:ascii="Wingdings" w:hAnsi="Wingdings" w:hint="default"/>
      </w:rPr>
    </w:lvl>
    <w:lvl w:ilvl="3" w:tplc="C014700E" w:tentative="1">
      <w:start w:val="1"/>
      <w:numFmt w:val="bullet"/>
      <w:lvlText w:val=""/>
      <w:lvlJc w:val="left"/>
      <w:pPr>
        <w:ind w:left="2880" w:hanging="360"/>
      </w:pPr>
      <w:rPr>
        <w:rFonts w:ascii="Symbol" w:hAnsi="Symbol" w:hint="default"/>
      </w:rPr>
    </w:lvl>
    <w:lvl w:ilvl="4" w:tplc="44641858" w:tentative="1">
      <w:start w:val="1"/>
      <w:numFmt w:val="bullet"/>
      <w:lvlText w:val="o"/>
      <w:lvlJc w:val="left"/>
      <w:pPr>
        <w:ind w:left="3600" w:hanging="360"/>
      </w:pPr>
      <w:rPr>
        <w:rFonts w:ascii="Courier New" w:hAnsi="Courier New" w:cs="Courier New" w:hint="default"/>
      </w:rPr>
    </w:lvl>
    <w:lvl w:ilvl="5" w:tplc="3AB8248A" w:tentative="1">
      <w:start w:val="1"/>
      <w:numFmt w:val="bullet"/>
      <w:lvlText w:val=""/>
      <w:lvlJc w:val="left"/>
      <w:pPr>
        <w:ind w:left="4320" w:hanging="360"/>
      </w:pPr>
      <w:rPr>
        <w:rFonts w:ascii="Wingdings" w:hAnsi="Wingdings" w:hint="default"/>
      </w:rPr>
    </w:lvl>
    <w:lvl w:ilvl="6" w:tplc="0A12ADFA" w:tentative="1">
      <w:start w:val="1"/>
      <w:numFmt w:val="bullet"/>
      <w:lvlText w:val=""/>
      <w:lvlJc w:val="left"/>
      <w:pPr>
        <w:ind w:left="5040" w:hanging="360"/>
      </w:pPr>
      <w:rPr>
        <w:rFonts w:ascii="Symbol" w:hAnsi="Symbol" w:hint="default"/>
      </w:rPr>
    </w:lvl>
    <w:lvl w:ilvl="7" w:tplc="02408870" w:tentative="1">
      <w:start w:val="1"/>
      <w:numFmt w:val="bullet"/>
      <w:lvlText w:val="o"/>
      <w:lvlJc w:val="left"/>
      <w:pPr>
        <w:ind w:left="5760" w:hanging="360"/>
      </w:pPr>
      <w:rPr>
        <w:rFonts w:ascii="Courier New" w:hAnsi="Courier New" w:cs="Courier New" w:hint="default"/>
      </w:rPr>
    </w:lvl>
    <w:lvl w:ilvl="8" w:tplc="BB16DEA6" w:tentative="1">
      <w:start w:val="1"/>
      <w:numFmt w:val="bullet"/>
      <w:lvlText w:val=""/>
      <w:lvlJc w:val="left"/>
      <w:pPr>
        <w:ind w:left="6480" w:hanging="360"/>
      </w:pPr>
      <w:rPr>
        <w:rFonts w:ascii="Wingdings" w:hAnsi="Wingdings" w:hint="default"/>
      </w:rPr>
    </w:lvl>
  </w:abstractNum>
  <w:abstractNum w:abstractNumId="14" w15:restartNumberingAfterBreak="0">
    <w:nsid w:val="58DF39E2"/>
    <w:multiLevelType w:val="hybridMultilevel"/>
    <w:tmpl w:val="5D0E61F4"/>
    <w:lvl w:ilvl="0" w:tplc="39F8316A">
      <w:start w:val="1"/>
      <w:numFmt w:val="decimal"/>
      <w:lvlText w:val="%1."/>
      <w:lvlJc w:val="left"/>
      <w:pPr>
        <w:ind w:left="720" w:hanging="360"/>
      </w:pPr>
      <w:rPr>
        <w:rFonts w:ascii="Calibri" w:eastAsia="Times New Roman" w:hAnsi="Calibri" w:cs="Times New Roman"/>
      </w:rPr>
    </w:lvl>
    <w:lvl w:ilvl="1" w:tplc="377257EA" w:tentative="1">
      <w:start w:val="1"/>
      <w:numFmt w:val="bullet"/>
      <w:lvlText w:val="o"/>
      <w:lvlJc w:val="left"/>
      <w:pPr>
        <w:ind w:left="1440" w:hanging="360"/>
      </w:pPr>
      <w:rPr>
        <w:rFonts w:ascii="Courier New" w:hAnsi="Courier New" w:cs="Courier New" w:hint="default"/>
      </w:rPr>
    </w:lvl>
    <w:lvl w:ilvl="2" w:tplc="1F22DA36" w:tentative="1">
      <w:start w:val="1"/>
      <w:numFmt w:val="bullet"/>
      <w:lvlText w:val=""/>
      <w:lvlJc w:val="left"/>
      <w:pPr>
        <w:ind w:left="2160" w:hanging="360"/>
      </w:pPr>
      <w:rPr>
        <w:rFonts w:ascii="Wingdings" w:hAnsi="Wingdings" w:hint="default"/>
      </w:rPr>
    </w:lvl>
    <w:lvl w:ilvl="3" w:tplc="E7681D5E" w:tentative="1">
      <w:start w:val="1"/>
      <w:numFmt w:val="bullet"/>
      <w:lvlText w:val=""/>
      <w:lvlJc w:val="left"/>
      <w:pPr>
        <w:ind w:left="2880" w:hanging="360"/>
      </w:pPr>
      <w:rPr>
        <w:rFonts w:ascii="Symbol" w:hAnsi="Symbol" w:hint="default"/>
      </w:rPr>
    </w:lvl>
    <w:lvl w:ilvl="4" w:tplc="108401B6" w:tentative="1">
      <w:start w:val="1"/>
      <w:numFmt w:val="bullet"/>
      <w:lvlText w:val="o"/>
      <w:lvlJc w:val="left"/>
      <w:pPr>
        <w:ind w:left="3600" w:hanging="360"/>
      </w:pPr>
      <w:rPr>
        <w:rFonts w:ascii="Courier New" w:hAnsi="Courier New" w:cs="Courier New" w:hint="default"/>
      </w:rPr>
    </w:lvl>
    <w:lvl w:ilvl="5" w:tplc="03703CB0" w:tentative="1">
      <w:start w:val="1"/>
      <w:numFmt w:val="bullet"/>
      <w:lvlText w:val=""/>
      <w:lvlJc w:val="left"/>
      <w:pPr>
        <w:ind w:left="4320" w:hanging="360"/>
      </w:pPr>
      <w:rPr>
        <w:rFonts w:ascii="Wingdings" w:hAnsi="Wingdings" w:hint="default"/>
      </w:rPr>
    </w:lvl>
    <w:lvl w:ilvl="6" w:tplc="986E6328" w:tentative="1">
      <w:start w:val="1"/>
      <w:numFmt w:val="bullet"/>
      <w:lvlText w:val=""/>
      <w:lvlJc w:val="left"/>
      <w:pPr>
        <w:ind w:left="5040" w:hanging="360"/>
      </w:pPr>
      <w:rPr>
        <w:rFonts w:ascii="Symbol" w:hAnsi="Symbol" w:hint="default"/>
      </w:rPr>
    </w:lvl>
    <w:lvl w:ilvl="7" w:tplc="63CA97AC" w:tentative="1">
      <w:start w:val="1"/>
      <w:numFmt w:val="bullet"/>
      <w:lvlText w:val="o"/>
      <w:lvlJc w:val="left"/>
      <w:pPr>
        <w:ind w:left="5760" w:hanging="360"/>
      </w:pPr>
      <w:rPr>
        <w:rFonts w:ascii="Courier New" w:hAnsi="Courier New" w:cs="Courier New" w:hint="default"/>
      </w:rPr>
    </w:lvl>
    <w:lvl w:ilvl="8" w:tplc="336890FC" w:tentative="1">
      <w:start w:val="1"/>
      <w:numFmt w:val="bullet"/>
      <w:lvlText w:val=""/>
      <w:lvlJc w:val="left"/>
      <w:pPr>
        <w:ind w:left="6480" w:hanging="360"/>
      </w:pPr>
      <w:rPr>
        <w:rFonts w:ascii="Wingdings" w:hAnsi="Wingdings" w:hint="default"/>
      </w:rPr>
    </w:lvl>
  </w:abstractNum>
  <w:abstractNum w:abstractNumId="15" w15:restartNumberingAfterBreak="0">
    <w:nsid w:val="5FF50717"/>
    <w:multiLevelType w:val="hybridMultilevel"/>
    <w:tmpl w:val="49F490A6"/>
    <w:lvl w:ilvl="0" w:tplc="558AE2DA">
      <w:numFmt w:val="bullet"/>
      <w:lvlText w:val="-"/>
      <w:lvlJc w:val="left"/>
      <w:pPr>
        <w:ind w:left="720" w:hanging="360"/>
      </w:pPr>
      <w:rPr>
        <w:rFonts w:ascii="Calibri" w:eastAsia="Times New Roman" w:hAnsi="Calibri" w:cs="Calibri" w:hint="default"/>
      </w:rPr>
    </w:lvl>
    <w:lvl w:ilvl="1" w:tplc="4A225DCC" w:tentative="1">
      <w:start w:val="1"/>
      <w:numFmt w:val="bullet"/>
      <w:lvlText w:val="o"/>
      <w:lvlJc w:val="left"/>
      <w:pPr>
        <w:ind w:left="1440" w:hanging="360"/>
      </w:pPr>
      <w:rPr>
        <w:rFonts w:ascii="Courier New" w:hAnsi="Courier New" w:cs="Courier New" w:hint="default"/>
      </w:rPr>
    </w:lvl>
    <w:lvl w:ilvl="2" w:tplc="ED3CB5AE" w:tentative="1">
      <w:start w:val="1"/>
      <w:numFmt w:val="bullet"/>
      <w:lvlText w:val=""/>
      <w:lvlJc w:val="left"/>
      <w:pPr>
        <w:ind w:left="2160" w:hanging="360"/>
      </w:pPr>
      <w:rPr>
        <w:rFonts w:ascii="Wingdings" w:hAnsi="Wingdings" w:hint="default"/>
      </w:rPr>
    </w:lvl>
    <w:lvl w:ilvl="3" w:tplc="4DF66F98" w:tentative="1">
      <w:start w:val="1"/>
      <w:numFmt w:val="bullet"/>
      <w:lvlText w:val=""/>
      <w:lvlJc w:val="left"/>
      <w:pPr>
        <w:ind w:left="2880" w:hanging="360"/>
      </w:pPr>
      <w:rPr>
        <w:rFonts w:ascii="Symbol" w:hAnsi="Symbol" w:hint="default"/>
      </w:rPr>
    </w:lvl>
    <w:lvl w:ilvl="4" w:tplc="890C29E6" w:tentative="1">
      <w:start w:val="1"/>
      <w:numFmt w:val="bullet"/>
      <w:lvlText w:val="o"/>
      <w:lvlJc w:val="left"/>
      <w:pPr>
        <w:ind w:left="3600" w:hanging="360"/>
      </w:pPr>
      <w:rPr>
        <w:rFonts w:ascii="Courier New" w:hAnsi="Courier New" w:cs="Courier New" w:hint="default"/>
      </w:rPr>
    </w:lvl>
    <w:lvl w:ilvl="5" w:tplc="B4E67F16" w:tentative="1">
      <w:start w:val="1"/>
      <w:numFmt w:val="bullet"/>
      <w:lvlText w:val=""/>
      <w:lvlJc w:val="left"/>
      <w:pPr>
        <w:ind w:left="4320" w:hanging="360"/>
      </w:pPr>
      <w:rPr>
        <w:rFonts w:ascii="Wingdings" w:hAnsi="Wingdings" w:hint="default"/>
      </w:rPr>
    </w:lvl>
    <w:lvl w:ilvl="6" w:tplc="0DB63E46" w:tentative="1">
      <w:start w:val="1"/>
      <w:numFmt w:val="bullet"/>
      <w:lvlText w:val=""/>
      <w:lvlJc w:val="left"/>
      <w:pPr>
        <w:ind w:left="5040" w:hanging="360"/>
      </w:pPr>
      <w:rPr>
        <w:rFonts w:ascii="Symbol" w:hAnsi="Symbol" w:hint="default"/>
      </w:rPr>
    </w:lvl>
    <w:lvl w:ilvl="7" w:tplc="6802856A" w:tentative="1">
      <w:start w:val="1"/>
      <w:numFmt w:val="bullet"/>
      <w:lvlText w:val="o"/>
      <w:lvlJc w:val="left"/>
      <w:pPr>
        <w:ind w:left="5760" w:hanging="360"/>
      </w:pPr>
      <w:rPr>
        <w:rFonts w:ascii="Courier New" w:hAnsi="Courier New" w:cs="Courier New" w:hint="default"/>
      </w:rPr>
    </w:lvl>
    <w:lvl w:ilvl="8" w:tplc="BDE69814" w:tentative="1">
      <w:start w:val="1"/>
      <w:numFmt w:val="bullet"/>
      <w:lvlText w:val=""/>
      <w:lvlJc w:val="left"/>
      <w:pPr>
        <w:ind w:left="6480" w:hanging="360"/>
      </w:pPr>
      <w:rPr>
        <w:rFonts w:ascii="Wingdings" w:hAnsi="Wingdings" w:hint="default"/>
      </w:rPr>
    </w:lvl>
  </w:abstractNum>
  <w:abstractNum w:abstractNumId="16" w15:restartNumberingAfterBreak="0">
    <w:nsid w:val="603A6C4E"/>
    <w:multiLevelType w:val="hybridMultilevel"/>
    <w:tmpl w:val="D080358A"/>
    <w:lvl w:ilvl="0" w:tplc="6152EDCC">
      <w:numFmt w:val="bullet"/>
      <w:lvlText w:val="-"/>
      <w:lvlJc w:val="left"/>
      <w:pPr>
        <w:ind w:left="720" w:hanging="360"/>
      </w:pPr>
      <w:rPr>
        <w:rFonts w:ascii="Calibri" w:eastAsia="Times New Roman" w:hAnsi="Calibri" w:cs="Calibri" w:hint="default"/>
      </w:rPr>
    </w:lvl>
    <w:lvl w:ilvl="1" w:tplc="67382B3C" w:tentative="1">
      <w:start w:val="1"/>
      <w:numFmt w:val="bullet"/>
      <w:lvlText w:val="o"/>
      <w:lvlJc w:val="left"/>
      <w:pPr>
        <w:ind w:left="1440" w:hanging="360"/>
      </w:pPr>
      <w:rPr>
        <w:rFonts w:ascii="Courier New" w:hAnsi="Courier New" w:cs="Courier New" w:hint="default"/>
      </w:rPr>
    </w:lvl>
    <w:lvl w:ilvl="2" w:tplc="FA6EEA68" w:tentative="1">
      <w:start w:val="1"/>
      <w:numFmt w:val="bullet"/>
      <w:lvlText w:val=""/>
      <w:lvlJc w:val="left"/>
      <w:pPr>
        <w:ind w:left="2160" w:hanging="360"/>
      </w:pPr>
      <w:rPr>
        <w:rFonts w:ascii="Wingdings" w:hAnsi="Wingdings" w:hint="default"/>
      </w:rPr>
    </w:lvl>
    <w:lvl w:ilvl="3" w:tplc="4C667964" w:tentative="1">
      <w:start w:val="1"/>
      <w:numFmt w:val="bullet"/>
      <w:lvlText w:val=""/>
      <w:lvlJc w:val="left"/>
      <w:pPr>
        <w:ind w:left="2880" w:hanging="360"/>
      </w:pPr>
      <w:rPr>
        <w:rFonts w:ascii="Symbol" w:hAnsi="Symbol" w:hint="default"/>
      </w:rPr>
    </w:lvl>
    <w:lvl w:ilvl="4" w:tplc="856A9346" w:tentative="1">
      <w:start w:val="1"/>
      <w:numFmt w:val="bullet"/>
      <w:lvlText w:val="o"/>
      <w:lvlJc w:val="left"/>
      <w:pPr>
        <w:ind w:left="3600" w:hanging="360"/>
      </w:pPr>
      <w:rPr>
        <w:rFonts w:ascii="Courier New" w:hAnsi="Courier New" w:cs="Courier New" w:hint="default"/>
      </w:rPr>
    </w:lvl>
    <w:lvl w:ilvl="5" w:tplc="46CA1A24" w:tentative="1">
      <w:start w:val="1"/>
      <w:numFmt w:val="bullet"/>
      <w:lvlText w:val=""/>
      <w:lvlJc w:val="left"/>
      <w:pPr>
        <w:ind w:left="4320" w:hanging="360"/>
      </w:pPr>
      <w:rPr>
        <w:rFonts w:ascii="Wingdings" w:hAnsi="Wingdings" w:hint="default"/>
      </w:rPr>
    </w:lvl>
    <w:lvl w:ilvl="6" w:tplc="17241418" w:tentative="1">
      <w:start w:val="1"/>
      <w:numFmt w:val="bullet"/>
      <w:lvlText w:val=""/>
      <w:lvlJc w:val="left"/>
      <w:pPr>
        <w:ind w:left="5040" w:hanging="360"/>
      </w:pPr>
      <w:rPr>
        <w:rFonts w:ascii="Symbol" w:hAnsi="Symbol" w:hint="default"/>
      </w:rPr>
    </w:lvl>
    <w:lvl w:ilvl="7" w:tplc="331C0652" w:tentative="1">
      <w:start w:val="1"/>
      <w:numFmt w:val="bullet"/>
      <w:lvlText w:val="o"/>
      <w:lvlJc w:val="left"/>
      <w:pPr>
        <w:ind w:left="5760" w:hanging="360"/>
      </w:pPr>
      <w:rPr>
        <w:rFonts w:ascii="Courier New" w:hAnsi="Courier New" w:cs="Courier New" w:hint="default"/>
      </w:rPr>
    </w:lvl>
    <w:lvl w:ilvl="8" w:tplc="CEEE1158" w:tentative="1">
      <w:start w:val="1"/>
      <w:numFmt w:val="bullet"/>
      <w:lvlText w:val=""/>
      <w:lvlJc w:val="left"/>
      <w:pPr>
        <w:ind w:left="6480" w:hanging="360"/>
      </w:pPr>
      <w:rPr>
        <w:rFonts w:ascii="Wingdings" w:hAnsi="Wingdings" w:hint="default"/>
      </w:rPr>
    </w:lvl>
  </w:abstractNum>
  <w:abstractNum w:abstractNumId="17" w15:restartNumberingAfterBreak="0">
    <w:nsid w:val="6F9D315D"/>
    <w:multiLevelType w:val="hybridMultilevel"/>
    <w:tmpl w:val="FE662C62"/>
    <w:lvl w:ilvl="0" w:tplc="0B7CEA42">
      <w:start w:val="38"/>
      <w:numFmt w:val="bullet"/>
      <w:lvlText w:val="-"/>
      <w:lvlJc w:val="left"/>
      <w:pPr>
        <w:tabs>
          <w:tab w:val="num" w:pos="720"/>
        </w:tabs>
        <w:ind w:left="720" w:hanging="360"/>
      </w:pPr>
      <w:rPr>
        <w:rFonts w:ascii="Tahoma" w:eastAsia="Times New Roman" w:hAnsi="Tahoma" w:cs="Tahoma" w:hint="default"/>
      </w:rPr>
    </w:lvl>
    <w:lvl w:ilvl="1" w:tplc="7B9C7F28" w:tentative="1">
      <w:start w:val="1"/>
      <w:numFmt w:val="bullet"/>
      <w:lvlText w:val="o"/>
      <w:lvlJc w:val="left"/>
      <w:pPr>
        <w:tabs>
          <w:tab w:val="num" w:pos="1440"/>
        </w:tabs>
        <w:ind w:left="1440" w:hanging="360"/>
      </w:pPr>
      <w:rPr>
        <w:rFonts w:ascii="Courier New" w:hAnsi="Courier New" w:cs="Courier New" w:hint="default"/>
      </w:rPr>
    </w:lvl>
    <w:lvl w:ilvl="2" w:tplc="AC221930" w:tentative="1">
      <w:start w:val="1"/>
      <w:numFmt w:val="bullet"/>
      <w:lvlText w:val=""/>
      <w:lvlJc w:val="left"/>
      <w:pPr>
        <w:tabs>
          <w:tab w:val="num" w:pos="2160"/>
        </w:tabs>
        <w:ind w:left="2160" w:hanging="360"/>
      </w:pPr>
      <w:rPr>
        <w:rFonts w:ascii="Wingdings" w:hAnsi="Wingdings" w:hint="default"/>
      </w:rPr>
    </w:lvl>
    <w:lvl w:ilvl="3" w:tplc="BDD88F1C" w:tentative="1">
      <w:start w:val="1"/>
      <w:numFmt w:val="bullet"/>
      <w:lvlText w:val=""/>
      <w:lvlJc w:val="left"/>
      <w:pPr>
        <w:tabs>
          <w:tab w:val="num" w:pos="2880"/>
        </w:tabs>
        <w:ind w:left="2880" w:hanging="360"/>
      </w:pPr>
      <w:rPr>
        <w:rFonts w:ascii="Symbol" w:hAnsi="Symbol" w:hint="default"/>
      </w:rPr>
    </w:lvl>
    <w:lvl w:ilvl="4" w:tplc="BFAA7D98" w:tentative="1">
      <w:start w:val="1"/>
      <w:numFmt w:val="bullet"/>
      <w:lvlText w:val="o"/>
      <w:lvlJc w:val="left"/>
      <w:pPr>
        <w:tabs>
          <w:tab w:val="num" w:pos="3600"/>
        </w:tabs>
        <w:ind w:left="3600" w:hanging="360"/>
      </w:pPr>
      <w:rPr>
        <w:rFonts w:ascii="Courier New" w:hAnsi="Courier New" w:cs="Courier New" w:hint="default"/>
      </w:rPr>
    </w:lvl>
    <w:lvl w:ilvl="5" w:tplc="B6A2FB76" w:tentative="1">
      <w:start w:val="1"/>
      <w:numFmt w:val="bullet"/>
      <w:lvlText w:val=""/>
      <w:lvlJc w:val="left"/>
      <w:pPr>
        <w:tabs>
          <w:tab w:val="num" w:pos="4320"/>
        </w:tabs>
        <w:ind w:left="4320" w:hanging="360"/>
      </w:pPr>
      <w:rPr>
        <w:rFonts w:ascii="Wingdings" w:hAnsi="Wingdings" w:hint="default"/>
      </w:rPr>
    </w:lvl>
    <w:lvl w:ilvl="6" w:tplc="A0BCCD46" w:tentative="1">
      <w:start w:val="1"/>
      <w:numFmt w:val="bullet"/>
      <w:lvlText w:val=""/>
      <w:lvlJc w:val="left"/>
      <w:pPr>
        <w:tabs>
          <w:tab w:val="num" w:pos="5040"/>
        </w:tabs>
        <w:ind w:left="5040" w:hanging="360"/>
      </w:pPr>
      <w:rPr>
        <w:rFonts w:ascii="Symbol" w:hAnsi="Symbol" w:hint="default"/>
      </w:rPr>
    </w:lvl>
    <w:lvl w:ilvl="7" w:tplc="91C82080" w:tentative="1">
      <w:start w:val="1"/>
      <w:numFmt w:val="bullet"/>
      <w:lvlText w:val="o"/>
      <w:lvlJc w:val="left"/>
      <w:pPr>
        <w:tabs>
          <w:tab w:val="num" w:pos="5760"/>
        </w:tabs>
        <w:ind w:left="5760" w:hanging="360"/>
      </w:pPr>
      <w:rPr>
        <w:rFonts w:ascii="Courier New" w:hAnsi="Courier New" w:cs="Courier New" w:hint="default"/>
      </w:rPr>
    </w:lvl>
    <w:lvl w:ilvl="8" w:tplc="1B04B7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441133"/>
    <w:multiLevelType w:val="hybridMultilevel"/>
    <w:tmpl w:val="F820687A"/>
    <w:lvl w:ilvl="0" w:tplc="F19EC722">
      <w:numFmt w:val="bullet"/>
      <w:lvlText w:val="-"/>
      <w:lvlJc w:val="left"/>
      <w:pPr>
        <w:ind w:left="720" w:hanging="360"/>
      </w:pPr>
      <w:rPr>
        <w:rFonts w:ascii="Calibri" w:eastAsia="Times New Roman" w:hAnsi="Calibri" w:cs="Calibri" w:hint="default"/>
      </w:rPr>
    </w:lvl>
    <w:lvl w:ilvl="1" w:tplc="0EAAD276" w:tentative="1">
      <w:start w:val="1"/>
      <w:numFmt w:val="bullet"/>
      <w:lvlText w:val="o"/>
      <w:lvlJc w:val="left"/>
      <w:pPr>
        <w:ind w:left="1440" w:hanging="360"/>
      </w:pPr>
      <w:rPr>
        <w:rFonts w:ascii="Courier New" w:hAnsi="Courier New" w:cs="Courier New" w:hint="default"/>
      </w:rPr>
    </w:lvl>
    <w:lvl w:ilvl="2" w:tplc="9FDC3770" w:tentative="1">
      <w:start w:val="1"/>
      <w:numFmt w:val="bullet"/>
      <w:lvlText w:val=""/>
      <w:lvlJc w:val="left"/>
      <w:pPr>
        <w:ind w:left="2160" w:hanging="360"/>
      </w:pPr>
      <w:rPr>
        <w:rFonts w:ascii="Wingdings" w:hAnsi="Wingdings" w:hint="default"/>
      </w:rPr>
    </w:lvl>
    <w:lvl w:ilvl="3" w:tplc="183611D0" w:tentative="1">
      <w:start w:val="1"/>
      <w:numFmt w:val="bullet"/>
      <w:lvlText w:val=""/>
      <w:lvlJc w:val="left"/>
      <w:pPr>
        <w:ind w:left="2880" w:hanging="360"/>
      </w:pPr>
      <w:rPr>
        <w:rFonts w:ascii="Symbol" w:hAnsi="Symbol" w:hint="default"/>
      </w:rPr>
    </w:lvl>
    <w:lvl w:ilvl="4" w:tplc="E05CC3F6" w:tentative="1">
      <w:start w:val="1"/>
      <w:numFmt w:val="bullet"/>
      <w:lvlText w:val="o"/>
      <w:lvlJc w:val="left"/>
      <w:pPr>
        <w:ind w:left="3600" w:hanging="360"/>
      </w:pPr>
      <w:rPr>
        <w:rFonts w:ascii="Courier New" w:hAnsi="Courier New" w:cs="Courier New" w:hint="default"/>
      </w:rPr>
    </w:lvl>
    <w:lvl w:ilvl="5" w:tplc="406CC4B6" w:tentative="1">
      <w:start w:val="1"/>
      <w:numFmt w:val="bullet"/>
      <w:lvlText w:val=""/>
      <w:lvlJc w:val="left"/>
      <w:pPr>
        <w:ind w:left="4320" w:hanging="360"/>
      </w:pPr>
      <w:rPr>
        <w:rFonts w:ascii="Wingdings" w:hAnsi="Wingdings" w:hint="default"/>
      </w:rPr>
    </w:lvl>
    <w:lvl w:ilvl="6" w:tplc="23CA8254" w:tentative="1">
      <w:start w:val="1"/>
      <w:numFmt w:val="bullet"/>
      <w:lvlText w:val=""/>
      <w:lvlJc w:val="left"/>
      <w:pPr>
        <w:ind w:left="5040" w:hanging="360"/>
      </w:pPr>
      <w:rPr>
        <w:rFonts w:ascii="Symbol" w:hAnsi="Symbol" w:hint="default"/>
      </w:rPr>
    </w:lvl>
    <w:lvl w:ilvl="7" w:tplc="4D0AE6D8" w:tentative="1">
      <w:start w:val="1"/>
      <w:numFmt w:val="bullet"/>
      <w:lvlText w:val="o"/>
      <w:lvlJc w:val="left"/>
      <w:pPr>
        <w:ind w:left="5760" w:hanging="360"/>
      </w:pPr>
      <w:rPr>
        <w:rFonts w:ascii="Courier New" w:hAnsi="Courier New" w:cs="Courier New" w:hint="default"/>
      </w:rPr>
    </w:lvl>
    <w:lvl w:ilvl="8" w:tplc="A7329196"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17"/>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9"/>
  </w:num>
  <w:num w:numId="14">
    <w:abstractNumId w:val="13"/>
  </w:num>
  <w:num w:numId="15">
    <w:abstractNumId w:val="14"/>
  </w:num>
  <w:num w:numId="16">
    <w:abstractNumId w:val="16"/>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92"/>
    <w:rsid w:val="0000127F"/>
    <w:rsid w:val="000040C9"/>
    <w:rsid w:val="0002110A"/>
    <w:rsid w:val="00022F38"/>
    <w:rsid w:val="000244E9"/>
    <w:rsid w:val="00054C49"/>
    <w:rsid w:val="000566AF"/>
    <w:rsid w:val="0007438D"/>
    <w:rsid w:val="00085209"/>
    <w:rsid w:val="000A02B0"/>
    <w:rsid w:val="000B24D5"/>
    <w:rsid w:val="000C0290"/>
    <w:rsid w:val="000C07D6"/>
    <w:rsid w:val="000D0FDD"/>
    <w:rsid w:val="000D45FE"/>
    <w:rsid w:val="000E21F8"/>
    <w:rsid w:val="000F393F"/>
    <w:rsid w:val="000F4CED"/>
    <w:rsid w:val="00104A04"/>
    <w:rsid w:val="00116A05"/>
    <w:rsid w:val="00116BA0"/>
    <w:rsid w:val="0011756F"/>
    <w:rsid w:val="001257CA"/>
    <w:rsid w:val="00126EF6"/>
    <w:rsid w:val="00137862"/>
    <w:rsid w:val="00143553"/>
    <w:rsid w:val="001570C8"/>
    <w:rsid w:val="001622CC"/>
    <w:rsid w:val="00170A33"/>
    <w:rsid w:val="0017268C"/>
    <w:rsid w:val="00173FF3"/>
    <w:rsid w:val="00195EC8"/>
    <w:rsid w:val="001A492B"/>
    <w:rsid w:val="001B1DA1"/>
    <w:rsid w:val="001B2851"/>
    <w:rsid w:val="001B5B1D"/>
    <w:rsid w:val="001D0C16"/>
    <w:rsid w:val="001D4A71"/>
    <w:rsid w:val="001E5476"/>
    <w:rsid w:val="001F15CB"/>
    <w:rsid w:val="001F1B9D"/>
    <w:rsid w:val="00225DF0"/>
    <w:rsid w:val="0023040F"/>
    <w:rsid w:val="002305D0"/>
    <w:rsid w:val="002358F8"/>
    <w:rsid w:val="00240088"/>
    <w:rsid w:val="0024769D"/>
    <w:rsid w:val="00250B12"/>
    <w:rsid w:val="0025234C"/>
    <w:rsid w:val="002562A1"/>
    <w:rsid w:val="00257A25"/>
    <w:rsid w:val="002720A7"/>
    <w:rsid w:val="00274346"/>
    <w:rsid w:val="0029132D"/>
    <w:rsid w:val="0029210E"/>
    <w:rsid w:val="002A0765"/>
    <w:rsid w:val="002A4097"/>
    <w:rsid w:val="002C0D3C"/>
    <w:rsid w:val="002C6652"/>
    <w:rsid w:val="002C7C91"/>
    <w:rsid w:val="002D10E8"/>
    <w:rsid w:val="002E426B"/>
    <w:rsid w:val="002F1C98"/>
    <w:rsid w:val="0030373B"/>
    <w:rsid w:val="00304F59"/>
    <w:rsid w:val="00305602"/>
    <w:rsid w:val="00305AD9"/>
    <w:rsid w:val="00313565"/>
    <w:rsid w:val="003224A7"/>
    <w:rsid w:val="003369B8"/>
    <w:rsid w:val="0034090F"/>
    <w:rsid w:val="003510EC"/>
    <w:rsid w:val="0035543E"/>
    <w:rsid w:val="00364770"/>
    <w:rsid w:val="00367769"/>
    <w:rsid w:val="003913C4"/>
    <w:rsid w:val="003927D9"/>
    <w:rsid w:val="003A1B0B"/>
    <w:rsid w:val="003A23AB"/>
    <w:rsid w:val="003A52AD"/>
    <w:rsid w:val="003B2361"/>
    <w:rsid w:val="003C4C76"/>
    <w:rsid w:val="003D0277"/>
    <w:rsid w:val="003D1E56"/>
    <w:rsid w:val="003E5245"/>
    <w:rsid w:val="003F5DD6"/>
    <w:rsid w:val="003F750D"/>
    <w:rsid w:val="00404027"/>
    <w:rsid w:val="00407363"/>
    <w:rsid w:val="00414A86"/>
    <w:rsid w:val="00420851"/>
    <w:rsid w:val="00423BCB"/>
    <w:rsid w:val="00424963"/>
    <w:rsid w:val="00425654"/>
    <w:rsid w:val="00430408"/>
    <w:rsid w:val="004345A7"/>
    <w:rsid w:val="004409EE"/>
    <w:rsid w:val="004413BF"/>
    <w:rsid w:val="00450A78"/>
    <w:rsid w:val="00454457"/>
    <w:rsid w:val="0046377C"/>
    <w:rsid w:val="004661EA"/>
    <w:rsid w:val="00477343"/>
    <w:rsid w:val="00477F51"/>
    <w:rsid w:val="00485210"/>
    <w:rsid w:val="004954C5"/>
    <w:rsid w:val="004B085C"/>
    <w:rsid w:val="004B1133"/>
    <w:rsid w:val="004B6861"/>
    <w:rsid w:val="004C414E"/>
    <w:rsid w:val="004D427A"/>
    <w:rsid w:val="004D5386"/>
    <w:rsid w:val="004D6F6A"/>
    <w:rsid w:val="004E1BCF"/>
    <w:rsid w:val="004E22A4"/>
    <w:rsid w:val="004E75DF"/>
    <w:rsid w:val="00507BA5"/>
    <w:rsid w:val="00511D8D"/>
    <w:rsid w:val="00514328"/>
    <w:rsid w:val="00516C07"/>
    <w:rsid w:val="00523266"/>
    <w:rsid w:val="00534E22"/>
    <w:rsid w:val="00540663"/>
    <w:rsid w:val="00540A73"/>
    <w:rsid w:val="00555AEB"/>
    <w:rsid w:val="00566C18"/>
    <w:rsid w:val="0057189C"/>
    <w:rsid w:val="0059292C"/>
    <w:rsid w:val="00597508"/>
    <w:rsid w:val="00597E44"/>
    <w:rsid w:val="00597EF4"/>
    <w:rsid w:val="005A1A35"/>
    <w:rsid w:val="005B771F"/>
    <w:rsid w:val="005D4510"/>
    <w:rsid w:val="005D59DA"/>
    <w:rsid w:val="005E48A9"/>
    <w:rsid w:val="005F3C82"/>
    <w:rsid w:val="006059E5"/>
    <w:rsid w:val="0062652B"/>
    <w:rsid w:val="00641126"/>
    <w:rsid w:val="006457AB"/>
    <w:rsid w:val="00664954"/>
    <w:rsid w:val="00671554"/>
    <w:rsid w:val="00676688"/>
    <w:rsid w:val="00676C43"/>
    <w:rsid w:val="00683764"/>
    <w:rsid w:val="006846BD"/>
    <w:rsid w:val="006863C5"/>
    <w:rsid w:val="006905C2"/>
    <w:rsid w:val="006C1375"/>
    <w:rsid w:val="006C7826"/>
    <w:rsid w:val="006E54C9"/>
    <w:rsid w:val="006F6F29"/>
    <w:rsid w:val="00710091"/>
    <w:rsid w:val="00711A65"/>
    <w:rsid w:val="0071353E"/>
    <w:rsid w:val="00745433"/>
    <w:rsid w:val="0075090C"/>
    <w:rsid w:val="00755444"/>
    <w:rsid w:val="00756468"/>
    <w:rsid w:val="007602C2"/>
    <w:rsid w:val="00760F53"/>
    <w:rsid w:val="00765ABC"/>
    <w:rsid w:val="007677C3"/>
    <w:rsid w:val="00777279"/>
    <w:rsid w:val="00785A9E"/>
    <w:rsid w:val="0079179C"/>
    <w:rsid w:val="00793995"/>
    <w:rsid w:val="007976A9"/>
    <w:rsid w:val="007A5D10"/>
    <w:rsid w:val="007B3903"/>
    <w:rsid w:val="007C39F7"/>
    <w:rsid w:val="007C5FBE"/>
    <w:rsid w:val="007D0E3B"/>
    <w:rsid w:val="007E46BA"/>
    <w:rsid w:val="007E4772"/>
    <w:rsid w:val="007F0662"/>
    <w:rsid w:val="007F715F"/>
    <w:rsid w:val="00825D0D"/>
    <w:rsid w:val="00827A8F"/>
    <w:rsid w:val="00837AFE"/>
    <w:rsid w:val="00846D4B"/>
    <w:rsid w:val="00854646"/>
    <w:rsid w:val="0086014D"/>
    <w:rsid w:val="00860321"/>
    <w:rsid w:val="008659A7"/>
    <w:rsid w:val="00866FE3"/>
    <w:rsid w:val="008777D8"/>
    <w:rsid w:val="00880D0E"/>
    <w:rsid w:val="0088376F"/>
    <w:rsid w:val="00886A37"/>
    <w:rsid w:val="00894CC1"/>
    <w:rsid w:val="0089688C"/>
    <w:rsid w:val="008A06D2"/>
    <w:rsid w:val="008A7C31"/>
    <w:rsid w:val="008B0195"/>
    <w:rsid w:val="008C07CA"/>
    <w:rsid w:val="008C1EE5"/>
    <w:rsid w:val="00907F3C"/>
    <w:rsid w:val="00921162"/>
    <w:rsid w:val="00926A17"/>
    <w:rsid w:val="009303F5"/>
    <w:rsid w:val="00936B86"/>
    <w:rsid w:val="00940BB0"/>
    <w:rsid w:val="00943B64"/>
    <w:rsid w:val="009508E4"/>
    <w:rsid w:val="009522C5"/>
    <w:rsid w:val="00956C6E"/>
    <w:rsid w:val="00961E95"/>
    <w:rsid w:val="0096361C"/>
    <w:rsid w:val="0096513F"/>
    <w:rsid w:val="0096789F"/>
    <w:rsid w:val="00985920"/>
    <w:rsid w:val="00995651"/>
    <w:rsid w:val="009A6007"/>
    <w:rsid w:val="009B1572"/>
    <w:rsid w:val="009B28F2"/>
    <w:rsid w:val="009C6FA0"/>
    <w:rsid w:val="009D1A78"/>
    <w:rsid w:val="009E0757"/>
    <w:rsid w:val="009F1D1D"/>
    <w:rsid w:val="00A02DF6"/>
    <w:rsid w:val="00A059D2"/>
    <w:rsid w:val="00A10FA2"/>
    <w:rsid w:val="00A15CB7"/>
    <w:rsid w:val="00A217B4"/>
    <w:rsid w:val="00A266C6"/>
    <w:rsid w:val="00A3213E"/>
    <w:rsid w:val="00A4280D"/>
    <w:rsid w:val="00A46A0C"/>
    <w:rsid w:val="00A75EB0"/>
    <w:rsid w:val="00A831F2"/>
    <w:rsid w:val="00AA1F91"/>
    <w:rsid w:val="00AB0E69"/>
    <w:rsid w:val="00AB5B41"/>
    <w:rsid w:val="00AC29DA"/>
    <w:rsid w:val="00AD0AB0"/>
    <w:rsid w:val="00AD11D4"/>
    <w:rsid w:val="00AD133A"/>
    <w:rsid w:val="00AE5D8D"/>
    <w:rsid w:val="00AF4864"/>
    <w:rsid w:val="00B03841"/>
    <w:rsid w:val="00B37A60"/>
    <w:rsid w:val="00B40816"/>
    <w:rsid w:val="00B412ED"/>
    <w:rsid w:val="00B41859"/>
    <w:rsid w:val="00B45525"/>
    <w:rsid w:val="00B50710"/>
    <w:rsid w:val="00B56DB6"/>
    <w:rsid w:val="00B57ED8"/>
    <w:rsid w:val="00B62C92"/>
    <w:rsid w:val="00B63B67"/>
    <w:rsid w:val="00B72411"/>
    <w:rsid w:val="00BB0543"/>
    <w:rsid w:val="00BB6554"/>
    <w:rsid w:val="00BC255D"/>
    <w:rsid w:val="00BD1330"/>
    <w:rsid w:val="00BE7A22"/>
    <w:rsid w:val="00C05E93"/>
    <w:rsid w:val="00C12428"/>
    <w:rsid w:val="00C12AF2"/>
    <w:rsid w:val="00C1529F"/>
    <w:rsid w:val="00C21240"/>
    <w:rsid w:val="00C23953"/>
    <w:rsid w:val="00C245F1"/>
    <w:rsid w:val="00C24AC5"/>
    <w:rsid w:val="00C3188C"/>
    <w:rsid w:val="00C431E4"/>
    <w:rsid w:val="00C45570"/>
    <w:rsid w:val="00C52557"/>
    <w:rsid w:val="00C64706"/>
    <w:rsid w:val="00C87F9A"/>
    <w:rsid w:val="00C90FD9"/>
    <w:rsid w:val="00C97236"/>
    <w:rsid w:val="00CA203E"/>
    <w:rsid w:val="00CB6098"/>
    <w:rsid w:val="00CB73D9"/>
    <w:rsid w:val="00CC49D0"/>
    <w:rsid w:val="00CC6ECF"/>
    <w:rsid w:val="00CD7BF7"/>
    <w:rsid w:val="00CE140C"/>
    <w:rsid w:val="00CE70E6"/>
    <w:rsid w:val="00D03F82"/>
    <w:rsid w:val="00D06396"/>
    <w:rsid w:val="00D0780D"/>
    <w:rsid w:val="00D113E5"/>
    <w:rsid w:val="00D13C46"/>
    <w:rsid w:val="00D418A8"/>
    <w:rsid w:val="00D41DED"/>
    <w:rsid w:val="00D44A28"/>
    <w:rsid w:val="00D46DEF"/>
    <w:rsid w:val="00D52C2E"/>
    <w:rsid w:val="00D6007C"/>
    <w:rsid w:val="00D62A4A"/>
    <w:rsid w:val="00D67090"/>
    <w:rsid w:val="00D754D2"/>
    <w:rsid w:val="00D76DAA"/>
    <w:rsid w:val="00D80168"/>
    <w:rsid w:val="00D909AE"/>
    <w:rsid w:val="00D90A90"/>
    <w:rsid w:val="00D90D9B"/>
    <w:rsid w:val="00D91E88"/>
    <w:rsid w:val="00D94038"/>
    <w:rsid w:val="00DA3776"/>
    <w:rsid w:val="00DA6852"/>
    <w:rsid w:val="00DB2644"/>
    <w:rsid w:val="00DB6D2D"/>
    <w:rsid w:val="00DC079F"/>
    <w:rsid w:val="00DD3C1D"/>
    <w:rsid w:val="00DE0A91"/>
    <w:rsid w:val="00DE25E4"/>
    <w:rsid w:val="00DF7CB9"/>
    <w:rsid w:val="00E26567"/>
    <w:rsid w:val="00E26A45"/>
    <w:rsid w:val="00E35338"/>
    <w:rsid w:val="00E446B0"/>
    <w:rsid w:val="00E60191"/>
    <w:rsid w:val="00E65FF6"/>
    <w:rsid w:val="00E73A31"/>
    <w:rsid w:val="00E77939"/>
    <w:rsid w:val="00E87647"/>
    <w:rsid w:val="00E962A2"/>
    <w:rsid w:val="00E96CC5"/>
    <w:rsid w:val="00E97E96"/>
    <w:rsid w:val="00EA0643"/>
    <w:rsid w:val="00EA17CF"/>
    <w:rsid w:val="00EA188C"/>
    <w:rsid w:val="00EA3AB9"/>
    <w:rsid w:val="00EA56E0"/>
    <w:rsid w:val="00EA57AF"/>
    <w:rsid w:val="00EB08ED"/>
    <w:rsid w:val="00EB29F9"/>
    <w:rsid w:val="00ED2E74"/>
    <w:rsid w:val="00EE0B8C"/>
    <w:rsid w:val="00EE3E80"/>
    <w:rsid w:val="00EE56DD"/>
    <w:rsid w:val="00EE753A"/>
    <w:rsid w:val="00EE7C1D"/>
    <w:rsid w:val="00F16163"/>
    <w:rsid w:val="00F3147B"/>
    <w:rsid w:val="00F32D34"/>
    <w:rsid w:val="00F34C0D"/>
    <w:rsid w:val="00F4060E"/>
    <w:rsid w:val="00F469D7"/>
    <w:rsid w:val="00F46A07"/>
    <w:rsid w:val="00F52F6B"/>
    <w:rsid w:val="00F549D2"/>
    <w:rsid w:val="00F5536C"/>
    <w:rsid w:val="00F563BB"/>
    <w:rsid w:val="00F652C1"/>
    <w:rsid w:val="00F82F1D"/>
    <w:rsid w:val="00F95972"/>
    <w:rsid w:val="00FB0CA6"/>
    <w:rsid w:val="00FB6576"/>
    <w:rsid w:val="00FC0E74"/>
    <w:rsid w:val="00FD199A"/>
    <w:rsid w:val="00FD5E62"/>
    <w:rsid w:val="00FE10EB"/>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2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76"/>
    <w:pPr>
      <w:spacing w:after="160"/>
    </w:pPr>
    <w:rPr>
      <w:rFonts w:ascii="Calibri" w:hAnsi="Calibri"/>
      <w:sz w:val="22"/>
      <w:szCs w:val="24"/>
      <w:lang w:val="nn-NO"/>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126EF6"/>
    <w:pPr>
      <w:numPr>
        <w:numId w:val="14"/>
      </w:numPr>
      <w:spacing w:before="12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Skjulttekst">
    <w:name w:val="Skjult tekst"/>
    <w:basedOn w:val="Normal"/>
    <w:qFormat/>
    <w:rsid w:val="0075090C"/>
    <w:rPr>
      <w:i/>
      <w:vanish/>
      <w:color w:val="FF0000"/>
    </w:rPr>
  </w:style>
  <w:style w:type="paragraph" w:styleId="Listeavsnitt">
    <w:name w:val="List Paragraph"/>
    <w:basedOn w:val="Normal"/>
    <w:uiPriority w:val="34"/>
    <w:qFormat/>
    <w:rsid w:val="0078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ABCBF-D348-4E43-9FE1-54C61E10F784}">
  <ds:schemaRefs>
    <ds:schemaRef ds:uri="http://schemas.openxmlformats.org/officeDocument/2006/bibliography"/>
  </ds:schemaRefs>
</ds:datastoreItem>
</file>

<file path=customXml/itemProps3.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4.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9545</Characters>
  <Application>Microsoft Office Word</Application>
  <DocSecurity>4</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2022-02-01T20:20:00Z</dcterms:created>
  <dcterms:modified xsi:type="dcterms:W3CDTF">2022-02-01T20:20:00Z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